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72" w:rsidRDefault="00897372">
      <w:pPr>
        <w:pStyle w:val="af0"/>
        <w:rPr>
          <w:sz w:val="16"/>
          <w:szCs w:val="16"/>
        </w:rPr>
      </w:pPr>
      <w:r w:rsidRPr="008973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568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97372">
        <w:pict>
          <v:shape id="_x0000_s1030" type="#_x0000_t75" style="position:absolute;left:0;text-align:left;margin-left:203.3pt;margin-top:0;width:45.2pt;height:54pt;z-index:251657728">
            <v:imagedata r:id="rId7" o:title=""/>
            <v:path textboxrect="0,0,0,0"/>
            <w10:wrap type="topAndBottom"/>
          </v:shape>
        </w:pict>
      </w:r>
    </w:p>
    <w:p w:rsidR="00897372" w:rsidRDefault="00873881">
      <w:pPr>
        <w:pStyle w:val="af0"/>
        <w:tabs>
          <w:tab w:val="left" w:pos="567"/>
          <w:tab w:val="left" w:pos="709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СЛУЖБА ПО ОХРАНЕ ОБЪЕКТОВ КУЛЬТУРНОГО НАСЛЕДИЯ ИРКУТСКОЙ ОБЛАСТИ</w:t>
      </w:r>
    </w:p>
    <w:p w:rsidR="00897372" w:rsidRDefault="00897372">
      <w:pPr>
        <w:jc w:val="center"/>
        <w:rPr>
          <w:b/>
          <w:bCs/>
        </w:rPr>
      </w:pPr>
    </w:p>
    <w:p w:rsidR="00897372" w:rsidRDefault="00873881">
      <w:pPr>
        <w:pStyle w:val="Heading1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Р И К А З</w:t>
      </w:r>
    </w:p>
    <w:p w:rsidR="00897372" w:rsidRDefault="00897372"/>
    <w:p w:rsidR="00897372" w:rsidRDefault="008738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2025 г.                                                                     № 76-493</w:t>
      </w:r>
      <w:r w:rsidR="00C77824">
        <w:rPr>
          <w:sz w:val="28"/>
          <w:szCs w:val="28"/>
        </w:rPr>
        <w:t>-</w:t>
      </w:r>
      <w:r>
        <w:rPr>
          <w:sz w:val="28"/>
          <w:szCs w:val="28"/>
        </w:rPr>
        <w:t>спр</w:t>
      </w:r>
    </w:p>
    <w:p w:rsidR="00897372" w:rsidRDefault="00897372">
      <w:pPr>
        <w:tabs>
          <w:tab w:val="left" w:pos="5812"/>
        </w:tabs>
        <w:jc w:val="center"/>
        <w:rPr>
          <w:sz w:val="28"/>
          <w:szCs w:val="28"/>
        </w:rPr>
      </w:pPr>
    </w:p>
    <w:p w:rsidR="00897372" w:rsidRDefault="00873881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Иркутск</w:t>
      </w:r>
    </w:p>
    <w:p w:rsidR="00897372" w:rsidRDefault="00897372">
      <w:pPr>
        <w:ind w:left="142" w:right="4706"/>
        <w:jc w:val="both"/>
        <w:rPr>
          <w:sz w:val="12"/>
          <w:szCs w:val="28"/>
        </w:rPr>
      </w:pPr>
    </w:p>
    <w:p w:rsidR="00897372" w:rsidRDefault="00873881">
      <w:pPr>
        <w:tabs>
          <w:tab w:val="left" w:pos="567"/>
        </w:tabs>
        <w:spacing w:before="600" w:after="360"/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 в единый государственный реестр объектов культурного наследия (памятников истории и культуры) народов</w:t>
      </w:r>
      <w:r>
        <w:rPr>
          <w:b/>
          <w:sz w:val="28"/>
          <w:szCs w:val="28"/>
          <w:highlight w:val="yellow"/>
        </w:rPr>
        <w:t xml:space="preserve">                           </w:t>
      </w:r>
      <w:r>
        <w:rPr>
          <w:b/>
          <w:sz w:val="28"/>
          <w:szCs w:val="28"/>
        </w:rPr>
        <w:t>Российской Федерации выявленного объекта культурного наследия</w:t>
      </w:r>
    </w:p>
    <w:p w:rsidR="00897372" w:rsidRDefault="00873881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 статьи 3.1, пунктом 12 стат</w:t>
      </w:r>
      <w:r>
        <w:rPr>
          <w:sz w:val="28"/>
          <w:szCs w:val="28"/>
        </w:rPr>
        <w:t>ьи 9.2,           пунктом 3, подпунктом 2 пункта 7 и пунктом 8 статьи 18 Федерального     закона от 25 июня 2002 года № 73-ФЗ «Об объектах культурного наследия (памятниках истории и культуры) народов Российской Федерации»,          частью 1 статьи 8 Закона</w:t>
      </w:r>
      <w:r>
        <w:rPr>
          <w:sz w:val="28"/>
          <w:szCs w:val="28"/>
        </w:rPr>
        <w:t xml:space="preserve"> Иркутской области от 23 июля 2008 года № 57-оз «Об объектах культурного наследия (памятниках истории</w:t>
      </w:r>
      <w:proofErr w:type="gramEnd"/>
      <w:r>
        <w:rPr>
          <w:sz w:val="28"/>
          <w:szCs w:val="28"/>
        </w:rPr>
        <w:t xml:space="preserve"> и культуры) народов Российской Федерации в Иркутской области», принимая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внимание                        Акт государственной историко-культурной эксперт</w:t>
      </w:r>
      <w:r>
        <w:rPr>
          <w:sz w:val="28"/>
          <w:szCs w:val="28"/>
        </w:rPr>
        <w:t xml:space="preserve">изы, обосновывающий включение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 «Дом жилой»,                                                  </w:t>
      </w:r>
      <w:r>
        <w:rPr>
          <w:sz w:val="28"/>
          <w:szCs w:val="28"/>
        </w:rPr>
        <w:t xml:space="preserve">  кон. 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Х -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ХХ вв.,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Иркутская область,              </w:t>
      </w:r>
      <w:proofErr w:type="spellStart"/>
      <w:proofErr w:type="gramStart"/>
      <w:r>
        <w:rPr>
          <w:sz w:val="28"/>
          <w:szCs w:val="28"/>
        </w:rPr>
        <w:t>Усолье-Сибирское</w:t>
      </w:r>
      <w:proofErr w:type="spellEnd"/>
      <w:proofErr w:type="gramEnd"/>
      <w:r>
        <w:rPr>
          <w:sz w:val="28"/>
          <w:szCs w:val="28"/>
        </w:rPr>
        <w:t xml:space="preserve"> г., Маркса К. ул., 73, от 31 августа 2024 года, руководствуясь статьей 21 Устава Иркутской области, Положением о службе по охране объектов культурного насл</w:t>
      </w:r>
      <w:r>
        <w:rPr>
          <w:sz w:val="28"/>
          <w:szCs w:val="28"/>
        </w:rPr>
        <w:t>едия Иркутской области, утвержденного постановлением Правительства Иркутской области от 9 марта 2010 года                      № 31-пп,</w:t>
      </w:r>
    </w:p>
    <w:p w:rsidR="00897372" w:rsidRDefault="00873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97372" w:rsidRDefault="00873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Включить выявленный объект культурного наследия                                      «Дом жилой», кон. 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Х -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ХХ вв.,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                        Иркутская область, </w:t>
      </w:r>
      <w:proofErr w:type="spellStart"/>
      <w:proofErr w:type="gramStart"/>
      <w:r>
        <w:rPr>
          <w:sz w:val="28"/>
          <w:szCs w:val="28"/>
        </w:rPr>
        <w:t>Усолье-Сибирское</w:t>
      </w:r>
      <w:proofErr w:type="spellEnd"/>
      <w:proofErr w:type="gramEnd"/>
      <w:r>
        <w:rPr>
          <w:sz w:val="28"/>
          <w:szCs w:val="28"/>
        </w:rPr>
        <w:t xml:space="preserve"> г., Маркса К. ул., 73, в единый государственный реестр объектов культурного наследия (памятников истории и культуры) народов Российской Федерации в качест</w:t>
      </w:r>
      <w:r>
        <w:rPr>
          <w:sz w:val="28"/>
          <w:szCs w:val="28"/>
        </w:rPr>
        <w:t xml:space="preserve">ве объекта культурного наследия регионального значения (памятника) с наименованием                                «Дом жилой», </w:t>
      </w:r>
      <w:bookmarkStart w:id="0" w:name="_Hlk121071811"/>
      <w:bookmarkStart w:id="1" w:name="_Hlk120361439"/>
      <w:bookmarkStart w:id="2" w:name="_Hlk147616583"/>
      <w:r>
        <w:rPr>
          <w:sz w:val="28"/>
          <w:szCs w:val="28"/>
        </w:rPr>
        <w:t xml:space="preserve">конец XIX – начало ХХ вв., расположенного по адресу: Иркутская область, городской округ город </w:t>
      </w:r>
      <w:proofErr w:type="spellStart"/>
      <w:proofErr w:type="gramStart"/>
      <w:r>
        <w:rPr>
          <w:sz w:val="28"/>
          <w:szCs w:val="28"/>
        </w:rPr>
        <w:t>Усолье-Сибирское</w:t>
      </w:r>
      <w:proofErr w:type="spellEnd"/>
      <w:proofErr w:type="gramEnd"/>
      <w:r>
        <w:rPr>
          <w:sz w:val="28"/>
          <w:szCs w:val="28"/>
        </w:rPr>
        <w:t xml:space="preserve">,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lastRenderedPageBreak/>
        <w:t xml:space="preserve">город </w:t>
      </w:r>
      <w:proofErr w:type="spellStart"/>
      <w:r>
        <w:rPr>
          <w:sz w:val="28"/>
          <w:szCs w:val="28"/>
        </w:rPr>
        <w:t>Усолье-Сибирское</w:t>
      </w:r>
      <w:proofErr w:type="spellEnd"/>
      <w:r>
        <w:rPr>
          <w:sz w:val="28"/>
          <w:szCs w:val="28"/>
        </w:rPr>
        <w:t>, улица Карла Маркса, дом 73</w:t>
      </w:r>
      <w:bookmarkEnd w:id="0"/>
      <w:bookmarkEnd w:id="1"/>
      <w:bookmarkEnd w:id="2"/>
      <w:r>
        <w:rPr>
          <w:sz w:val="28"/>
          <w:szCs w:val="28"/>
        </w:rPr>
        <w:t xml:space="preserve"> (далее – объект культурного наследия).</w:t>
      </w:r>
    </w:p>
    <w:p w:rsidR="00897372" w:rsidRDefault="00873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границы территории объекта культурного наследия согласно приложениям 1, 2 к настоящему приказу. </w:t>
      </w:r>
    </w:p>
    <w:p w:rsidR="00897372" w:rsidRDefault="0087388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режим использования тер</w:t>
      </w:r>
      <w:r>
        <w:rPr>
          <w:sz w:val="28"/>
          <w:szCs w:val="28"/>
        </w:rPr>
        <w:t xml:space="preserve">ритории объекта культурного наследия согласно приложению 3 к настоящему приказу. </w:t>
      </w:r>
    </w:p>
    <w:p w:rsidR="00897372" w:rsidRDefault="00873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Признать утратившим силу пункт 30.1.136 подраздела 30.1 раздела 30 Перечня выявленных объектов культурного наследия, расположенных на территории Иркутской области, утвержд</w:t>
      </w:r>
      <w:r>
        <w:rPr>
          <w:sz w:val="28"/>
          <w:szCs w:val="28"/>
        </w:rPr>
        <w:t>енного приказом службы по охране объектов культурного наследия Иркутской области от 14 февраля 2017 года № 18-спр.</w:t>
      </w:r>
      <w:proofErr w:type="gramEnd"/>
    </w:p>
    <w:p w:rsidR="00897372" w:rsidRDefault="00873881">
      <w:pPr>
        <w:ind w:firstLine="709"/>
        <w:jc w:val="both"/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Настоящий приказ подлежит официальному опубликованию в общественно-политической газете «Областная», сетевом издании «Официальный интернет-</w:t>
      </w:r>
      <w:r>
        <w:rPr>
          <w:sz w:val="28"/>
          <w:szCs w:val="28"/>
        </w:rPr>
        <w:t>портал правовой информации Иркутской области»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ogirk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а также на «Официальном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правовой информации»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после его государственной регистрации.</w:t>
      </w:r>
      <w:proofErr w:type="gramEnd"/>
    </w:p>
    <w:p w:rsidR="00897372" w:rsidRDefault="00873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Настоящий приказ вступает в силу после дня его государственной регистра</w:t>
      </w:r>
      <w:r>
        <w:rPr>
          <w:sz w:val="28"/>
          <w:szCs w:val="28"/>
        </w:rPr>
        <w:t>ции.</w:t>
      </w: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tbl>
      <w:tblPr>
        <w:tblpPr w:leftFromText="180" w:rightFromText="180" w:vertAnchor="text" w:horzAnchor="margin" w:tblpY="205"/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4"/>
        <w:gridCol w:w="160"/>
        <w:gridCol w:w="3615"/>
      </w:tblGrid>
      <w:tr w:rsidR="00897372">
        <w:tc>
          <w:tcPr>
            <w:tcW w:w="5864" w:type="dxa"/>
          </w:tcPr>
          <w:p w:rsidR="00897372" w:rsidRDefault="00873881">
            <w:pPr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 по охране</w:t>
            </w:r>
          </w:p>
          <w:p w:rsidR="00897372" w:rsidRDefault="00873881">
            <w:pPr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 культурного наследия</w:t>
            </w:r>
          </w:p>
          <w:p w:rsidR="00897372" w:rsidRDefault="00873881">
            <w:pPr>
              <w:ind w:left="-21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Иркутской области                                                      </w:t>
            </w:r>
          </w:p>
        </w:tc>
        <w:tc>
          <w:tcPr>
            <w:tcW w:w="160" w:type="dxa"/>
          </w:tcPr>
          <w:p w:rsidR="00897372" w:rsidRDefault="0089737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897372" w:rsidRDefault="0087388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897372" w:rsidRDefault="0087388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897372" w:rsidRDefault="0087388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897372" w:rsidRDefault="0087388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В.В. Соколов</w:t>
            </w:r>
          </w:p>
          <w:p w:rsidR="00897372" w:rsidRDefault="0087388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897372" w:rsidRDefault="0089737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97372">
        <w:tc>
          <w:tcPr>
            <w:tcW w:w="5864" w:type="dxa"/>
          </w:tcPr>
          <w:p w:rsidR="00897372" w:rsidRDefault="008973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897372" w:rsidRDefault="0089737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897372" w:rsidRDefault="0089737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897372" w:rsidRDefault="00873881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shd w:val="clear" w:color="auto" w:fill="FFFFFF"/>
        <w:tabs>
          <w:tab w:val="left" w:pos="1810"/>
        </w:tabs>
        <w:jc w:val="both"/>
        <w:rPr>
          <w:color w:val="000000"/>
          <w:spacing w:val="-3"/>
          <w:sz w:val="28"/>
          <w:szCs w:val="28"/>
        </w:rPr>
      </w:pPr>
    </w:p>
    <w:p w:rsidR="00897372" w:rsidRDefault="00897372">
      <w:pPr>
        <w:widowControl w:val="0"/>
        <w:tabs>
          <w:tab w:val="left" w:pos="1815"/>
        </w:tabs>
        <w:contextualSpacing/>
        <w:rPr>
          <w:b/>
          <w:bCs/>
          <w:sz w:val="28"/>
          <w:szCs w:val="28"/>
        </w:rPr>
      </w:pPr>
    </w:p>
    <w:p w:rsidR="00897372" w:rsidRDefault="00897372">
      <w:pPr>
        <w:widowControl w:val="0"/>
        <w:tabs>
          <w:tab w:val="left" w:pos="1815"/>
        </w:tabs>
        <w:contextualSpacing/>
        <w:rPr>
          <w:sz w:val="28"/>
          <w:szCs w:val="28"/>
        </w:rPr>
        <w:sectPr w:rsidR="00897372">
          <w:headerReference w:type="default" r:id="rId8"/>
          <w:headerReference w:type="first" r:id="rId9"/>
          <w:pgSz w:w="11906" w:h="16838"/>
          <w:pgMar w:top="933" w:right="849" w:bottom="1134" w:left="1701" w:header="397" w:footer="720" w:gutter="0"/>
          <w:pgNumType w:start="1"/>
          <w:cols w:space="720"/>
          <w:titlePg/>
          <w:docGrid w:linePitch="360"/>
        </w:sectPr>
      </w:pPr>
    </w:p>
    <w:p w:rsidR="00897372" w:rsidRDefault="00873881">
      <w:pPr>
        <w:widowControl w:val="0"/>
        <w:tabs>
          <w:tab w:val="left" w:pos="1815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97372" w:rsidRDefault="0087388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к приказу службы по охране объектов</w:t>
      </w:r>
    </w:p>
    <w:p w:rsidR="00897372" w:rsidRDefault="0087388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культурного наследия Иркутской области</w:t>
      </w:r>
    </w:p>
    <w:p w:rsidR="00897372" w:rsidRDefault="00873881">
      <w:pPr>
        <w:shd w:val="clear" w:color="auto" w:fill="FFFFFF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«8» сентября 2025 года № 76-493 - </w:t>
      </w:r>
      <w:proofErr w:type="spellStart"/>
      <w:r>
        <w:rPr>
          <w:sz w:val="28"/>
          <w:szCs w:val="28"/>
        </w:rPr>
        <w:t>спр</w:t>
      </w:r>
      <w:proofErr w:type="spellEnd"/>
    </w:p>
    <w:p w:rsidR="00897372" w:rsidRDefault="00897372">
      <w:pPr>
        <w:shd w:val="clear" w:color="auto" w:fill="FFFFFF"/>
        <w:contextualSpacing/>
        <w:jc w:val="right"/>
        <w:rPr>
          <w:b/>
          <w:bCs/>
          <w:color w:val="3A3A3A"/>
          <w:sz w:val="28"/>
          <w:szCs w:val="28"/>
        </w:rPr>
      </w:pPr>
    </w:p>
    <w:p w:rsidR="00897372" w:rsidRDefault="00873881">
      <w:pPr>
        <w:ind w:firstLine="70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границ территории объекта культурного наследия</w:t>
      </w:r>
    </w:p>
    <w:p w:rsidR="00897372" w:rsidRDefault="00873881">
      <w:pPr>
        <w:ind w:firstLine="70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регионального значения</w:t>
      </w:r>
    </w:p>
    <w:p w:rsidR="00897372" w:rsidRDefault="00897372">
      <w:pPr>
        <w:ind w:firstLine="708"/>
        <w:contextualSpacing/>
        <w:jc w:val="center"/>
        <w:rPr>
          <w:b/>
          <w:bCs/>
          <w:sz w:val="28"/>
          <w:szCs w:val="28"/>
        </w:rPr>
      </w:pPr>
    </w:p>
    <w:p w:rsidR="00897372" w:rsidRDefault="00873881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и датировка объекта: </w:t>
      </w:r>
      <w:r>
        <w:rPr>
          <w:sz w:val="28"/>
          <w:szCs w:val="28"/>
        </w:rPr>
        <w:t>«Дом жилой», конец XIX – начало ХХ вв.</w:t>
      </w:r>
    </w:p>
    <w:p w:rsidR="00897372" w:rsidRDefault="00873881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Адрес:</w:t>
      </w:r>
      <w:r>
        <w:rPr>
          <w:sz w:val="28"/>
          <w:szCs w:val="28"/>
        </w:rPr>
        <w:t xml:space="preserve"> Иркутская область, городской округ город </w:t>
      </w:r>
      <w:proofErr w:type="spellStart"/>
      <w:proofErr w:type="gramStart"/>
      <w:r>
        <w:rPr>
          <w:sz w:val="28"/>
          <w:szCs w:val="28"/>
        </w:rPr>
        <w:t>Усолье-Сибирское</w:t>
      </w:r>
      <w:proofErr w:type="spellEnd"/>
      <w:proofErr w:type="gramEnd"/>
      <w:r>
        <w:rPr>
          <w:sz w:val="28"/>
          <w:szCs w:val="28"/>
        </w:rPr>
        <w:t xml:space="preserve">,                                      город </w:t>
      </w:r>
      <w:proofErr w:type="spellStart"/>
      <w:r>
        <w:rPr>
          <w:sz w:val="28"/>
          <w:szCs w:val="28"/>
        </w:rPr>
        <w:t>Усолье-Сибирское</w:t>
      </w:r>
      <w:proofErr w:type="spellEnd"/>
      <w:r>
        <w:rPr>
          <w:sz w:val="28"/>
          <w:szCs w:val="28"/>
        </w:rPr>
        <w:t>, улица Карла Маркса, дом 73</w:t>
      </w:r>
    </w:p>
    <w:p w:rsidR="00897372" w:rsidRDefault="00897372">
      <w:pPr>
        <w:ind w:right="-28"/>
        <w:jc w:val="center"/>
        <w:rPr>
          <w:sz w:val="24"/>
          <w:szCs w:val="24"/>
        </w:rPr>
      </w:pPr>
    </w:p>
    <w:p w:rsidR="00897372" w:rsidRDefault="00897372">
      <w:pPr>
        <w:contextualSpacing/>
        <w:jc w:val="center"/>
        <w:rPr>
          <w:sz w:val="28"/>
          <w:szCs w:val="28"/>
        </w:rPr>
      </w:pPr>
      <w:r w:rsidRPr="00897372">
        <w:pict>
          <v:shape id="_x0000_s1029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77824">
        <w:pict>
          <v:shape id="_x0000_i1025" type="#_x0000_t75" style="width:391.8pt;height:391.8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897372" w:rsidRDefault="00897372">
      <w:pPr>
        <w:jc w:val="center"/>
        <w:rPr>
          <w:b/>
          <w:sz w:val="28"/>
          <w:szCs w:val="28"/>
        </w:rPr>
      </w:pPr>
    </w:p>
    <w:p w:rsidR="00897372" w:rsidRDefault="00873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897372" w:rsidRDefault="00897372">
      <w:pPr>
        <w:jc w:val="center"/>
        <w:rPr>
          <w:b/>
          <w:color w:val="C00000"/>
          <w:sz w:val="28"/>
          <w:szCs w:val="28"/>
        </w:rPr>
      </w:pPr>
    </w:p>
    <w:p w:rsidR="00897372" w:rsidRDefault="00897372">
      <w:pPr>
        <w:spacing w:line="276" w:lineRule="auto"/>
        <w:rPr>
          <w:sz w:val="28"/>
          <w:szCs w:val="28"/>
          <w:lang w:eastAsia="ar-SA"/>
        </w:rPr>
      </w:pPr>
      <w:r w:rsidRPr="00897372">
        <w:rPr>
          <w:color w:val="C00000"/>
        </w:rPr>
        <w:pict>
          <v:rect id="shape 3" o:spid="_x0000_s1027" style="position:absolute;margin-left:19.2pt;margin-top:.5pt;width:36pt;height:36pt;z-index:251659776;visibility:visible" fillcolor="#c00">
            <v:textbox inset="0,0,0,0">
              <w:txbxContent>
                <w:p w:rsidR="00897372" w:rsidRDefault="0089737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/>
          </v:rect>
        </w:pict>
      </w:r>
      <w:r w:rsidR="00873881">
        <w:rPr>
          <w:b/>
          <w:color w:val="C00000"/>
          <w:sz w:val="28"/>
          <w:szCs w:val="28"/>
        </w:rPr>
        <w:t xml:space="preserve">       </w:t>
      </w:r>
      <w:r w:rsidR="00873881">
        <w:rPr>
          <w:color w:val="000000" w:themeColor="text1"/>
          <w:sz w:val="28"/>
          <w:szCs w:val="28"/>
          <w:highlight w:val="white"/>
        </w:rPr>
        <w:t xml:space="preserve">- </w:t>
      </w:r>
      <w:r w:rsidR="00873881">
        <w:rPr>
          <w:sz w:val="28"/>
          <w:szCs w:val="28"/>
          <w:lang w:eastAsia="ar-SA"/>
        </w:rPr>
        <w:t>объект культурного наследия</w:t>
      </w:r>
    </w:p>
    <w:tbl>
      <w:tblPr>
        <w:tblStyle w:val="af5"/>
        <w:tblW w:w="8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67"/>
        <w:gridCol w:w="7197"/>
      </w:tblGrid>
      <w:tr w:rsidR="00897372">
        <w:trPr>
          <w:trHeight w:val="744"/>
        </w:trPr>
        <w:tc>
          <w:tcPr>
            <w:tcW w:w="1267" w:type="dxa"/>
          </w:tcPr>
          <w:p w:rsidR="00897372" w:rsidRDefault="00897372">
            <w:pPr>
              <w:ind w:left="318"/>
              <w:jc w:val="center"/>
              <w:rPr>
                <w:sz w:val="28"/>
                <w:szCs w:val="28"/>
              </w:rPr>
            </w:pPr>
            <w:r w:rsidRPr="00897372">
              <w:pict>
                <v:rect id="shape 4" o:spid="_x0000_s1026" style="position:absolute;left:0;text-align:left;margin-left:6.1pt;margin-top:5.9pt;width:36.8pt;height:27.8pt;z-index:251658752;visibility:visible" strokecolor="#c00000" strokeweight="2.25pt"/>
              </w:pict>
            </w:r>
          </w:p>
        </w:tc>
        <w:tc>
          <w:tcPr>
            <w:tcW w:w="7196" w:type="dxa"/>
          </w:tcPr>
          <w:p w:rsidR="00897372" w:rsidRDefault="00873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- граница территории объекта культурного наследия</w:t>
            </w:r>
          </w:p>
        </w:tc>
      </w:tr>
      <w:tr w:rsidR="00897372">
        <w:trPr>
          <w:trHeight w:val="744"/>
        </w:trPr>
        <w:tc>
          <w:tcPr>
            <w:tcW w:w="1267" w:type="dxa"/>
            <w:vAlign w:val="center"/>
          </w:tcPr>
          <w:p w:rsidR="00897372" w:rsidRDefault="00873881">
            <w:pPr>
              <w:ind w:left="318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lang w:eastAsia="ar-SA"/>
              </w:rPr>
              <w:lastRenderedPageBreak/>
              <w:t>●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7196" w:type="dxa"/>
            <w:vAlign w:val="center"/>
          </w:tcPr>
          <w:p w:rsidR="00897372" w:rsidRDefault="00873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- обозначение характерной (поворотной) точки границы территории объекта культурного наследия</w:t>
            </w:r>
          </w:p>
        </w:tc>
      </w:tr>
    </w:tbl>
    <w:p w:rsidR="00897372" w:rsidRDefault="0087388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Приложение 2</w:t>
      </w:r>
    </w:p>
    <w:p w:rsidR="00897372" w:rsidRDefault="00873881">
      <w:pPr>
        <w:widowControl w:val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приказу службы по охране объектов </w:t>
      </w:r>
    </w:p>
    <w:p w:rsidR="00897372" w:rsidRDefault="00873881">
      <w:pPr>
        <w:widowControl w:val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культурного наследия Иркутской области</w:t>
      </w:r>
    </w:p>
    <w:p w:rsidR="00897372" w:rsidRDefault="0087388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«8» сентября 2025 года № 76-493 - </w:t>
      </w:r>
      <w:proofErr w:type="spellStart"/>
      <w:r>
        <w:rPr>
          <w:sz w:val="28"/>
          <w:szCs w:val="28"/>
        </w:rPr>
        <w:t>спр</w:t>
      </w:r>
      <w:proofErr w:type="spellEnd"/>
    </w:p>
    <w:p w:rsidR="00897372" w:rsidRDefault="00897372">
      <w:pPr>
        <w:ind w:left="5672" w:firstLine="709"/>
        <w:contextualSpacing/>
        <w:jc w:val="center"/>
        <w:rPr>
          <w:b/>
          <w:bCs/>
          <w:sz w:val="20"/>
          <w:szCs w:val="28"/>
        </w:rPr>
      </w:pPr>
    </w:p>
    <w:p w:rsidR="00897372" w:rsidRDefault="00873881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координат поворотных (характерных) точек </w:t>
      </w:r>
      <w:proofErr w:type="gramStart"/>
      <w:r>
        <w:rPr>
          <w:b/>
          <w:bCs/>
          <w:sz w:val="28"/>
          <w:szCs w:val="28"/>
        </w:rPr>
        <w:t xml:space="preserve">границ территории объекта культурного наследия </w:t>
      </w:r>
      <w:r>
        <w:rPr>
          <w:b/>
          <w:sz w:val="28"/>
          <w:szCs w:val="28"/>
        </w:rPr>
        <w:t>регионального значения</w:t>
      </w:r>
      <w:proofErr w:type="gramEnd"/>
    </w:p>
    <w:p w:rsidR="00897372" w:rsidRDefault="00897372">
      <w:pPr>
        <w:contextualSpacing/>
        <w:rPr>
          <w:sz w:val="20"/>
          <w:szCs w:val="28"/>
        </w:rPr>
      </w:pPr>
    </w:p>
    <w:p w:rsidR="00897372" w:rsidRDefault="00873881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и датировка объекта: </w:t>
      </w:r>
      <w:r>
        <w:rPr>
          <w:sz w:val="28"/>
          <w:szCs w:val="28"/>
        </w:rPr>
        <w:t>«Дом жилой», конец XIX – начало ХХ вв.</w:t>
      </w:r>
    </w:p>
    <w:p w:rsidR="00897372" w:rsidRDefault="00873881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Иркутская область, городской округ город </w:t>
      </w:r>
      <w:proofErr w:type="spellStart"/>
      <w:proofErr w:type="gramStart"/>
      <w:r>
        <w:rPr>
          <w:sz w:val="28"/>
          <w:szCs w:val="28"/>
        </w:rPr>
        <w:t>Усолье-Сибирск</w:t>
      </w:r>
      <w:r>
        <w:rPr>
          <w:sz w:val="28"/>
          <w:szCs w:val="28"/>
        </w:rPr>
        <w:t>ое</w:t>
      </w:r>
      <w:proofErr w:type="spellEnd"/>
      <w:proofErr w:type="gramEnd"/>
      <w:r>
        <w:rPr>
          <w:sz w:val="28"/>
          <w:szCs w:val="28"/>
        </w:rPr>
        <w:t xml:space="preserve">,                                      город </w:t>
      </w:r>
      <w:proofErr w:type="spellStart"/>
      <w:r>
        <w:rPr>
          <w:sz w:val="28"/>
          <w:szCs w:val="28"/>
        </w:rPr>
        <w:t>Усолье-Сибирское</w:t>
      </w:r>
      <w:proofErr w:type="spellEnd"/>
      <w:r>
        <w:rPr>
          <w:sz w:val="28"/>
          <w:szCs w:val="28"/>
        </w:rPr>
        <w:t>, улица Карла Маркса, дом 73</w:t>
      </w:r>
    </w:p>
    <w:p w:rsidR="00897372" w:rsidRDefault="00897372">
      <w:pPr>
        <w:contextualSpacing/>
        <w:rPr>
          <w:sz w:val="28"/>
          <w:szCs w:val="28"/>
        </w:rPr>
      </w:pP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417"/>
        <w:gridCol w:w="1418"/>
        <w:gridCol w:w="1701"/>
        <w:gridCol w:w="1984"/>
        <w:gridCol w:w="1276"/>
        <w:gridCol w:w="567"/>
      </w:tblGrid>
      <w:tr w:rsidR="00897372">
        <w:trPr>
          <w:jc w:val="center"/>
        </w:trPr>
        <w:tc>
          <w:tcPr>
            <w:tcW w:w="10065" w:type="dxa"/>
            <w:gridSpan w:val="7"/>
            <w:vAlign w:val="bottom"/>
          </w:tcPr>
          <w:p w:rsidR="00897372" w:rsidRDefault="00897372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</w:p>
        </w:tc>
      </w:tr>
      <w:tr w:rsidR="00897372">
        <w:trPr>
          <w:jc w:val="center"/>
        </w:trPr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7372" w:rsidRDefault="0087388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местоположении границ объекта</w:t>
            </w:r>
          </w:p>
        </w:tc>
      </w:tr>
      <w:tr w:rsidR="00897372">
        <w:trPr>
          <w:jc w:val="center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97372" w:rsidRDefault="00873881">
            <w:pPr>
              <w:pStyle w:val="af8"/>
              <w:widowControl w:val="0"/>
              <w:numPr>
                <w:ilvl w:val="0"/>
                <w:numId w:val="11"/>
              </w:numPr>
              <w:ind w:right="2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Система </w:t>
            </w:r>
          </w:p>
          <w:p w:rsidR="00897372" w:rsidRDefault="00873881">
            <w:pPr>
              <w:pStyle w:val="af8"/>
              <w:widowControl w:val="0"/>
              <w:ind w:left="388" w:right="2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right="4"/>
              <w:rPr>
                <w:color w:val="000000"/>
              </w:rPr>
            </w:pPr>
            <w:r>
              <w:rPr>
                <w:color w:val="000000"/>
              </w:rPr>
              <w:t>МСК-38, зона 3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4" w:space="0" w:color="000000"/>
            </w:tcBorders>
          </w:tcPr>
          <w:p w:rsidR="00897372" w:rsidRDefault="00897372">
            <w:pPr>
              <w:widowControl w:val="0"/>
              <w:ind w:right="4"/>
              <w:rPr>
                <w:b/>
                <w:bCs/>
                <w:color w:val="000000"/>
              </w:rPr>
            </w:pPr>
          </w:p>
        </w:tc>
      </w:tr>
      <w:tr w:rsidR="00897372">
        <w:trPr>
          <w:trHeight w:val="120"/>
          <w:jc w:val="center"/>
        </w:trPr>
        <w:tc>
          <w:tcPr>
            <w:tcW w:w="1006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372" w:rsidRDefault="00897372">
            <w:pPr>
              <w:widowControl w:val="0"/>
              <w:ind w:left="28" w:right="28"/>
              <w:rPr>
                <w:color w:val="000000"/>
              </w:rPr>
            </w:pPr>
          </w:p>
        </w:tc>
      </w:tr>
      <w:tr w:rsidR="00897372">
        <w:trPr>
          <w:jc w:val="center"/>
        </w:trPr>
        <w:tc>
          <w:tcPr>
            <w:tcW w:w="1006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Сведения о характерных точках границ объекта</w:t>
            </w:r>
          </w:p>
        </w:tc>
      </w:tr>
      <w:tr w:rsidR="00897372">
        <w:trPr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Обозначение характерных точек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границ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Координаты, </w:t>
            </w:r>
            <w:proofErr w:type="gramStart"/>
            <w:r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Метод определения координат характерной точки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Средняя </w:t>
            </w:r>
            <w:proofErr w:type="spellStart"/>
            <w:r>
              <w:rPr>
                <w:b/>
                <w:bCs/>
                <w:color w:val="000000"/>
              </w:rPr>
              <w:t>квадратическая</w:t>
            </w:r>
            <w:proofErr w:type="spellEnd"/>
            <w:r>
              <w:rPr>
                <w:b/>
                <w:bCs/>
                <w:color w:val="000000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bCs/>
                <w:color w:val="000000"/>
              </w:rPr>
              <w:t>Mt</w:t>
            </w:r>
            <w:proofErr w:type="spellEnd"/>
            <w:r>
              <w:rPr>
                <w:b/>
                <w:bCs/>
                <w:color w:val="000000"/>
              </w:rPr>
              <w:t>), 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Описание обозначения точки на местности (при наличии)</w:t>
            </w:r>
          </w:p>
        </w:tc>
      </w:tr>
      <w:tr w:rsidR="00897372">
        <w:trPr>
          <w:trHeight w:val="1924"/>
          <w:jc w:val="center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  <w:tc>
          <w:tcPr>
            <w:tcW w:w="1984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</w:tr>
      <w:tr w:rsidR="00897372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97372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437323,75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3291668,65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897372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437301,89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3291661,39</w:t>
            </w:r>
          </w:p>
        </w:tc>
        <w:tc>
          <w:tcPr>
            <w:tcW w:w="1701" w:type="dxa"/>
            <w:vMerge/>
            <w:tcBorders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843" w:type="dxa"/>
            <w:gridSpan w:val="2"/>
            <w:vMerge/>
            <w:tcBorders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</w:tr>
      <w:tr w:rsidR="00897372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437303,19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3291658,17</w:t>
            </w:r>
          </w:p>
        </w:tc>
        <w:tc>
          <w:tcPr>
            <w:tcW w:w="1701" w:type="dxa"/>
            <w:vMerge/>
            <w:tcBorders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843" w:type="dxa"/>
            <w:gridSpan w:val="2"/>
            <w:vMerge/>
            <w:tcBorders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</w:tr>
      <w:tr w:rsidR="00897372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437305,38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3291652,71</w:t>
            </w:r>
          </w:p>
        </w:tc>
        <w:tc>
          <w:tcPr>
            <w:tcW w:w="1701" w:type="dxa"/>
            <w:vMerge/>
            <w:tcBorders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843" w:type="dxa"/>
            <w:gridSpan w:val="2"/>
            <w:vMerge/>
            <w:tcBorders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</w:tr>
      <w:tr w:rsidR="00897372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437320,08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3291657,19</w:t>
            </w:r>
          </w:p>
        </w:tc>
        <w:tc>
          <w:tcPr>
            <w:tcW w:w="1701" w:type="dxa"/>
            <w:vMerge/>
            <w:tcBorders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843" w:type="dxa"/>
            <w:gridSpan w:val="2"/>
            <w:vMerge/>
            <w:tcBorders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</w:tr>
      <w:tr w:rsidR="00897372">
        <w:trPr>
          <w:trHeight w:val="53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437326,69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3291658,46</w:t>
            </w:r>
          </w:p>
        </w:tc>
        <w:tc>
          <w:tcPr>
            <w:tcW w:w="1701" w:type="dxa"/>
            <w:vMerge/>
            <w:tcBorders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843" w:type="dxa"/>
            <w:gridSpan w:val="2"/>
            <w:vMerge/>
            <w:tcBorders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</w:tr>
      <w:tr w:rsidR="00897372">
        <w:trPr>
          <w:trHeight w:val="53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437323,75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3291668,65</w:t>
            </w: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97372" w:rsidRDefault="00873881">
            <w:pPr>
              <w:widowControl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000000"/>
              <w:right w:val="single" w:sz="6" w:space="0" w:color="000000"/>
            </w:tcBorders>
          </w:tcPr>
          <w:p w:rsidR="00897372" w:rsidRDefault="00897372">
            <w:pPr>
              <w:widowControl w:val="0"/>
            </w:pPr>
            <w:bookmarkStart w:id="3" w:name="_Hlk104461421_Копия_1"/>
            <w:bookmarkEnd w:id="3"/>
          </w:p>
        </w:tc>
      </w:tr>
    </w:tbl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</w:p>
    <w:p w:rsidR="00897372" w:rsidRDefault="00897372">
      <w:pPr>
        <w:contextualSpacing/>
        <w:rPr>
          <w:sz w:val="28"/>
          <w:szCs w:val="28"/>
        </w:rPr>
      </w:pPr>
      <w:bookmarkStart w:id="4" w:name="_GoBack"/>
      <w:bookmarkEnd w:id="4"/>
    </w:p>
    <w:p w:rsidR="00897372" w:rsidRDefault="00897372">
      <w:pPr>
        <w:contextualSpacing/>
        <w:rPr>
          <w:sz w:val="28"/>
          <w:szCs w:val="28"/>
        </w:rPr>
      </w:pPr>
    </w:p>
    <w:p w:rsidR="00897372" w:rsidRDefault="0087388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97372" w:rsidRDefault="00873881">
      <w:pPr>
        <w:widowControl w:val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приказу службы по охране объектов </w:t>
      </w:r>
    </w:p>
    <w:p w:rsidR="00897372" w:rsidRDefault="00873881">
      <w:pPr>
        <w:widowControl w:val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культурного наследия Иркутской области</w:t>
      </w:r>
    </w:p>
    <w:p w:rsidR="00897372" w:rsidRDefault="00873881">
      <w:pPr>
        <w:widowControl w:val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«8» сентября 2025 года № 76-493 - </w:t>
      </w:r>
      <w:proofErr w:type="spellStart"/>
      <w:r>
        <w:rPr>
          <w:sz w:val="28"/>
          <w:szCs w:val="28"/>
        </w:rPr>
        <w:t>спр</w:t>
      </w:r>
      <w:proofErr w:type="spellEnd"/>
    </w:p>
    <w:p w:rsidR="00897372" w:rsidRDefault="00897372">
      <w:pPr>
        <w:widowControl w:val="0"/>
        <w:ind w:left="360"/>
        <w:contextualSpacing/>
        <w:jc w:val="right"/>
        <w:rPr>
          <w:b/>
          <w:sz w:val="28"/>
          <w:szCs w:val="28"/>
        </w:rPr>
      </w:pPr>
    </w:p>
    <w:p w:rsidR="00897372" w:rsidRDefault="0087388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использования территории </w:t>
      </w:r>
    </w:p>
    <w:p w:rsidR="00897372" w:rsidRDefault="0087388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 регионального значения</w:t>
      </w:r>
    </w:p>
    <w:p w:rsidR="00897372" w:rsidRDefault="00897372">
      <w:pPr>
        <w:contextualSpacing/>
        <w:rPr>
          <w:b/>
          <w:sz w:val="28"/>
          <w:szCs w:val="28"/>
        </w:rPr>
      </w:pPr>
    </w:p>
    <w:p w:rsidR="00897372" w:rsidRDefault="00873881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и датировка объекта: </w:t>
      </w:r>
      <w:r>
        <w:rPr>
          <w:sz w:val="28"/>
          <w:szCs w:val="28"/>
        </w:rPr>
        <w:t xml:space="preserve">«Дом жилой», конец XIX – начало ХХ вв. </w:t>
      </w:r>
    </w:p>
    <w:p w:rsidR="00897372" w:rsidRDefault="00873881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Адрес: </w:t>
      </w:r>
      <w:r>
        <w:rPr>
          <w:bCs/>
          <w:sz w:val="28"/>
          <w:szCs w:val="28"/>
        </w:rPr>
        <w:t xml:space="preserve">Иркутская область, городской округ город </w:t>
      </w:r>
      <w:proofErr w:type="spellStart"/>
      <w:proofErr w:type="gramStart"/>
      <w:r>
        <w:rPr>
          <w:bCs/>
          <w:sz w:val="28"/>
          <w:szCs w:val="28"/>
        </w:rPr>
        <w:t>Усолье-Сибирское</w:t>
      </w:r>
      <w:proofErr w:type="spellEnd"/>
      <w:proofErr w:type="gramEnd"/>
      <w:r>
        <w:rPr>
          <w:bCs/>
          <w:sz w:val="28"/>
          <w:szCs w:val="28"/>
        </w:rPr>
        <w:t xml:space="preserve">,                                      город </w:t>
      </w:r>
      <w:proofErr w:type="spellStart"/>
      <w:r>
        <w:rPr>
          <w:bCs/>
          <w:sz w:val="28"/>
          <w:szCs w:val="28"/>
        </w:rPr>
        <w:t>Усолье-Сибирское</w:t>
      </w:r>
      <w:proofErr w:type="spellEnd"/>
      <w:r>
        <w:rPr>
          <w:bCs/>
          <w:sz w:val="28"/>
          <w:szCs w:val="28"/>
        </w:rPr>
        <w:t>, улица Карла Маркса, дом 73</w:t>
      </w:r>
    </w:p>
    <w:p w:rsidR="00897372" w:rsidRDefault="00897372">
      <w:pPr>
        <w:contextualSpacing/>
        <w:jc w:val="both"/>
        <w:rPr>
          <w:sz w:val="28"/>
          <w:szCs w:val="28"/>
        </w:rPr>
      </w:pPr>
    </w:p>
    <w:p w:rsidR="00897372" w:rsidRDefault="0087388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территории </w:t>
      </w:r>
      <w:r>
        <w:rPr>
          <w:rStyle w:val="blk"/>
          <w:sz w:val="28"/>
          <w:szCs w:val="28"/>
        </w:rPr>
        <w:t xml:space="preserve">памятника или ансамбля </w:t>
      </w:r>
      <w:r>
        <w:rPr>
          <w:sz w:val="28"/>
          <w:szCs w:val="28"/>
        </w:rPr>
        <w:t xml:space="preserve">запрещается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</w:t>
      </w:r>
      <w:proofErr w:type="gramStart"/>
      <w:r>
        <w:rPr>
          <w:sz w:val="28"/>
          <w:szCs w:val="28"/>
        </w:rPr>
        <w:t>проведение земляных, строительны</w:t>
      </w:r>
      <w:r>
        <w:rPr>
          <w:sz w:val="28"/>
          <w:szCs w:val="28"/>
        </w:rPr>
        <w:t>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наследия, работ по капитальному ремонту общего имущест</w:t>
      </w:r>
      <w:r>
        <w:rPr>
          <w:sz w:val="28"/>
          <w:szCs w:val="28"/>
        </w:rPr>
        <w:t>ва в многоквартирных домах, являющихся объектами культурного наследия, включенными в единый государственный реестр объектов культурного наследия (памятников истории и культуры) народов Российской Федерации, или выявленными объектами культурного наследия</w:t>
      </w:r>
      <w:proofErr w:type="gramEnd"/>
      <w:r>
        <w:rPr>
          <w:sz w:val="28"/>
          <w:szCs w:val="28"/>
        </w:rPr>
        <w:t>, р</w:t>
      </w:r>
      <w:r>
        <w:rPr>
          <w:sz w:val="28"/>
          <w:szCs w:val="28"/>
        </w:rPr>
        <w:t>абот по капитальному ремонту общего имущества в многоквартирных домах, расположенных на территориях объектов культурного наследия и не являющихся объектами культурного наследия;</w:t>
      </w:r>
    </w:p>
    <w:p w:rsidR="00897372" w:rsidRDefault="0087388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территории </w:t>
      </w:r>
      <w:r>
        <w:rPr>
          <w:rStyle w:val="blk"/>
          <w:sz w:val="28"/>
          <w:szCs w:val="28"/>
        </w:rPr>
        <w:t xml:space="preserve">памятника или ансамбля </w:t>
      </w:r>
      <w:r>
        <w:rPr>
          <w:sz w:val="28"/>
          <w:szCs w:val="28"/>
        </w:rPr>
        <w:t>разрешается ведение хозяйственной деяте</w:t>
      </w:r>
      <w:r>
        <w:rPr>
          <w:sz w:val="28"/>
          <w:szCs w:val="28"/>
        </w:rPr>
        <w:t>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897372" w:rsidRDefault="00897372">
      <w:pPr>
        <w:contextualSpacing/>
        <w:jc w:val="both"/>
        <w:rPr>
          <w:sz w:val="28"/>
          <w:szCs w:val="28"/>
        </w:rPr>
      </w:pPr>
    </w:p>
    <w:p w:rsidR="00897372" w:rsidRDefault="00897372">
      <w:pPr>
        <w:contextualSpacing/>
        <w:jc w:val="both"/>
        <w:rPr>
          <w:sz w:val="28"/>
          <w:szCs w:val="28"/>
        </w:rPr>
      </w:pPr>
    </w:p>
    <w:p w:rsidR="00897372" w:rsidRDefault="00897372">
      <w:pPr>
        <w:spacing w:after="120"/>
        <w:jc w:val="both"/>
        <w:rPr>
          <w:sz w:val="28"/>
          <w:szCs w:val="28"/>
        </w:rPr>
      </w:pPr>
    </w:p>
    <w:p w:rsidR="00897372" w:rsidRDefault="00897372">
      <w:pPr>
        <w:spacing w:after="120"/>
        <w:jc w:val="both"/>
        <w:rPr>
          <w:sz w:val="28"/>
          <w:szCs w:val="28"/>
        </w:rPr>
      </w:pPr>
    </w:p>
    <w:p w:rsidR="00897372" w:rsidRDefault="00897372">
      <w:pPr>
        <w:spacing w:after="120"/>
        <w:jc w:val="both"/>
        <w:rPr>
          <w:sz w:val="28"/>
          <w:szCs w:val="28"/>
        </w:rPr>
      </w:pPr>
    </w:p>
    <w:p w:rsidR="00897372" w:rsidRDefault="00897372">
      <w:pPr>
        <w:spacing w:after="120"/>
        <w:rPr>
          <w:sz w:val="28"/>
          <w:szCs w:val="28"/>
        </w:rPr>
      </w:pPr>
    </w:p>
    <w:p w:rsidR="00897372" w:rsidRDefault="00897372">
      <w:pPr>
        <w:spacing w:after="120"/>
        <w:jc w:val="both"/>
        <w:rPr>
          <w:sz w:val="28"/>
          <w:szCs w:val="28"/>
        </w:rPr>
      </w:pPr>
    </w:p>
    <w:p w:rsidR="00897372" w:rsidRDefault="00897372">
      <w:pPr>
        <w:spacing w:after="120"/>
        <w:jc w:val="both"/>
        <w:rPr>
          <w:sz w:val="28"/>
          <w:szCs w:val="28"/>
        </w:rPr>
      </w:pPr>
    </w:p>
    <w:p w:rsidR="00897372" w:rsidRDefault="00897372">
      <w:pPr>
        <w:spacing w:after="120"/>
        <w:jc w:val="both"/>
        <w:rPr>
          <w:sz w:val="28"/>
          <w:szCs w:val="28"/>
        </w:rPr>
      </w:pPr>
    </w:p>
    <w:p w:rsidR="00897372" w:rsidRDefault="00897372">
      <w:pPr>
        <w:spacing w:after="120"/>
        <w:jc w:val="both"/>
        <w:rPr>
          <w:sz w:val="28"/>
          <w:szCs w:val="28"/>
        </w:rPr>
      </w:pPr>
    </w:p>
    <w:p w:rsidR="00897372" w:rsidRDefault="00897372">
      <w:pPr>
        <w:spacing w:after="120"/>
        <w:jc w:val="both"/>
        <w:rPr>
          <w:sz w:val="28"/>
          <w:szCs w:val="28"/>
        </w:rPr>
      </w:pPr>
    </w:p>
    <w:sectPr w:rsidR="00897372" w:rsidSect="00897372">
      <w:headerReference w:type="default" r:id="rId11"/>
      <w:pgSz w:w="11906" w:h="16838"/>
      <w:pgMar w:top="933" w:right="566" w:bottom="851" w:left="1701" w:header="397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81" w:rsidRDefault="00873881">
      <w:r>
        <w:separator/>
      </w:r>
    </w:p>
  </w:endnote>
  <w:endnote w:type="continuationSeparator" w:id="0">
    <w:p w:rsidR="00873881" w:rsidRDefault="0087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81" w:rsidRDefault="00873881">
      <w:r>
        <w:separator/>
      </w:r>
    </w:p>
  </w:footnote>
  <w:footnote w:type="continuationSeparator" w:id="0">
    <w:p w:rsidR="00873881" w:rsidRDefault="00873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72" w:rsidRDefault="00873881">
    <w:pPr>
      <w:pStyle w:val="Header"/>
      <w:jc w:val="center"/>
    </w:pPr>
    <w:r>
      <w:t>2</w:t>
    </w:r>
  </w:p>
  <w:p w:rsidR="00897372" w:rsidRDefault="00897372">
    <w:pPr>
      <w:pStyle w:val="Header"/>
      <w:jc w:val="center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72" w:rsidRDefault="00897372">
    <w:pPr>
      <w:pStyle w:val="Header"/>
      <w:jc w:val="center"/>
    </w:pPr>
    <w:r w:rsidRPr="00897372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left:0;text-align:left;margin-left:238.9pt;margin-top:20.2pt;width:258pt;height:80.6pt;z-index:251659264;visibility:visible;mso-wrap-distance-top:3.6pt;mso-wrap-distance-bottom:3.6pt;mso-position-vertical-relative:page" stroked="f">
          <v:textbox inset="0,0,0,0">
            <w:txbxContent>
              <w:p w:rsidR="00897372" w:rsidRDefault="00873881">
                <w:pPr>
                  <w:jc w:val="right"/>
                  <w:rPr>
                    <w:sz w:val="22"/>
                  </w:rPr>
                </w:pPr>
                <w:r>
                  <w:rPr>
                    <w:sz w:val="22"/>
                  </w:rPr>
                  <w:t>Зарегистрирован в ИОГКУ                                 «Институт муниципальной правовой информации имени М.М. Сперанского»               Государственная регистрация</w:t>
                </w:r>
              </w:p>
              <w:p w:rsidR="00897372" w:rsidRDefault="00873881">
                <w:pPr>
                  <w:jc w:val="right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от ______________№_____________</w:t>
                </w:r>
              </w:p>
            </w:txbxContent>
          </v:textbox>
          <w10:wrap type="square" anchory="page"/>
        </v:shape>
      </w:pict>
    </w:r>
  </w:p>
  <w:p w:rsidR="00897372" w:rsidRDefault="008973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72" w:rsidRDefault="00897372">
    <w:pPr>
      <w:pStyle w:val="Header"/>
      <w:jc w:val="center"/>
    </w:pPr>
  </w:p>
  <w:p w:rsidR="00897372" w:rsidRDefault="00897372">
    <w:pPr>
      <w:pStyle w:val="Header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514"/>
    <w:multiLevelType w:val="hybridMultilevel"/>
    <w:tmpl w:val="058C33C6"/>
    <w:lvl w:ilvl="0" w:tplc="C226CE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CD76CCEA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E2F8009A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92ECC9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9ACAA1C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DA50A7D4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89ED49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655ABC66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96256D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F262AB2"/>
    <w:multiLevelType w:val="hybridMultilevel"/>
    <w:tmpl w:val="525C2A0E"/>
    <w:lvl w:ilvl="0" w:tplc="E1A89576">
      <w:start w:val="1"/>
      <w:numFmt w:val="decimal"/>
      <w:lvlText w:val="%1."/>
      <w:lvlJc w:val="left"/>
      <w:pPr>
        <w:ind w:left="2007" w:hanging="360"/>
      </w:pPr>
      <w:rPr>
        <w:rFonts w:cs="Times New Roman" w:hint="default"/>
      </w:rPr>
    </w:lvl>
    <w:lvl w:ilvl="1" w:tplc="76DEA1A8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5BFC2C34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188E518A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AB5A47BA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222ECA56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D8CA7336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56A8FDBA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7BAACC86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">
    <w:nsid w:val="2AFF2BE3"/>
    <w:multiLevelType w:val="hybridMultilevel"/>
    <w:tmpl w:val="B082DDD6"/>
    <w:lvl w:ilvl="0" w:tplc="10D88CD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C3F4FCD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63EA7B5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E47C2D6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8264F9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602AC64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8CC9CD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E75C346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9716AE4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E1D7F8F"/>
    <w:multiLevelType w:val="hybridMultilevel"/>
    <w:tmpl w:val="C024A382"/>
    <w:lvl w:ilvl="0" w:tplc="2904D2B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B846CB8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580245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80293F4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9B2A2A6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94D0604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C02615E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7126A8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5E4C160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E774CCC"/>
    <w:multiLevelType w:val="hybridMultilevel"/>
    <w:tmpl w:val="FCF03D86"/>
    <w:lvl w:ilvl="0" w:tplc="C88C5FF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12467806">
      <w:start w:val="1"/>
      <w:numFmt w:val="lowerLetter"/>
      <w:lvlText w:val="%2."/>
      <w:lvlJc w:val="left"/>
      <w:pPr>
        <w:ind w:left="1108" w:hanging="360"/>
      </w:pPr>
    </w:lvl>
    <w:lvl w:ilvl="2" w:tplc="1CE61B70">
      <w:start w:val="1"/>
      <w:numFmt w:val="lowerRoman"/>
      <w:lvlText w:val="%3."/>
      <w:lvlJc w:val="right"/>
      <w:pPr>
        <w:ind w:left="1828" w:hanging="180"/>
      </w:pPr>
    </w:lvl>
    <w:lvl w:ilvl="3" w:tplc="FA42675A">
      <w:start w:val="1"/>
      <w:numFmt w:val="decimal"/>
      <w:lvlText w:val="%4."/>
      <w:lvlJc w:val="left"/>
      <w:pPr>
        <w:ind w:left="2548" w:hanging="360"/>
      </w:pPr>
    </w:lvl>
    <w:lvl w:ilvl="4" w:tplc="4230A9A0">
      <w:start w:val="1"/>
      <w:numFmt w:val="lowerLetter"/>
      <w:lvlText w:val="%5."/>
      <w:lvlJc w:val="left"/>
      <w:pPr>
        <w:ind w:left="3268" w:hanging="360"/>
      </w:pPr>
    </w:lvl>
    <w:lvl w:ilvl="5" w:tplc="D2FA70E4">
      <w:start w:val="1"/>
      <w:numFmt w:val="lowerRoman"/>
      <w:lvlText w:val="%6."/>
      <w:lvlJc w:val="right"/>
      <w:pPr>
        <w:ind w:left="3988" w:hanging="180"/>
      </w:pPr>
    </w:lvl>
    <w:lvl w:ilvl="6" w:tplc="524C9F6E">
      <w:start w:val="1"/>
      <w:numFmt w:val="decimal"/>
      <w:lvlText w:val="%7."/>
      <w:lvlJc w:val="left"/>
      <w:pPr>
        <w:ind w:left="4708" w:hanging="360"/>
      </w:pPr>
    </w:lvl>
    <w:lvl w:ilvl="7" w:tplc="B78ABDE8">
      <w:start w:val="1"/>
      <w:numFmt w:val="lowerLetter"/>
      <w:lvlText w:val="%8."/>
      <w:lvlJc w:val="left"/>
      <w:pPr>
        <w:ind w:left="5428" w:hanging="360"/>
      </w:pPr>
    </w:lvl>
    <w:lvl w:ilvl="8" w:tplc="28CA204C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614E41F4"/>
    <w:multiLevelType w:val="hybridMultilevel"/>
    <w:tmpl w:val="E1D8B60C"/>
    <w:lvl w:ilvl="0" w:tplc="8FD454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B736280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ED28BC2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D0B448C8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B3CE7A38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D5E016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A2ED73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B6A8FF0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C2F0E73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48D3EE6"/>
    <w:multiLevelType w:val="multilevel"/>
    <w:tmpl w:val="8EA4C3A6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6C3D2967"/>
    <w:multiLevelType w:val="hybridMultilevel"/>
    <w:tmpl w:val="FFD66F70"/>
    <w:lvl w:ilvl="0" w:tplc="888CCBDC">
      <w:start w:val="1"/>
      <w:numFmt w:val="decimal"/>
      <w:lvlText w:val="%1."/>
      <w:lvlJc w:val="left"/>
      <w:pPr>
        <w:tabs>
          <w:tab w:val="num" w:pos="0"/>
        </w:tabs>
        <w:ind w:left="388" w:hanging="360"/>
      </w:pPr>
    </w:lvl>
    <w:lvl w:ilvl="1" w:tplc="372E4C4A">
      <w:start w:val="1"/>
      <w:numFmt w:val="lowerLetter"/>
      <w:lvlText w:val="%2."/>
      <w:lvlJc w:val="left"/>
      <w:pPr>
        <w:tabs>
          <w:tab w:val="num" w:pos="0"/>
        </w:tabs>
        <w:ind w:left="1108" w:hanging="360"/>
      </w:pPr>
    </w:lvl>
    <w:lvl w:ilvl="2" w:tplc="34EA7142">
      <w:start w:val="1"/>
      <w:numFmt w:val="lowerRoman"/>
      <w:lvlText w:val="%3."/>
      <w:lvlJc w:val="right"/>
      <w:pPr>
        <w:tabs>
          <w:tab w:val="num" w:pos="0"/>
        </w:tabs>
        <w:ind w:left="1828" w:hanging="180"/>
      </w:pPr>
    </w:lvl>
    <w:lvl w:ilvl="3" w:tplc="540E20FC">
      <w:start w:val="1"/>
      <w:numFmt w:val="decimal"/>
      <w:lvlText w:val="%4."/>
      <w:lvlJc w:val="left"/>
      <w:pPr>
        <w:tabs>
          <w:tab w:val="num" w:pos="0"/>
        </w:tabs>
        <w:ind w:left="2548" w:hanging="360"/>
      </w:pPr>
    </w:lvl>
    <w:lvl w:ilvl="4" w:tplc="C46E37B2">
      <w:start w:val="1"/>
      <w:numFmt w:val="lowerLetter"/>
      <w:lvlText w:val="%5."/>
      <w:lvlJc w:val="left"/>
      <w:pPr>
        <w:tabs>
          <w:tab w:val="num" w:pos="0"/>
        </w:tabs>
        <w:ind w:left="3268" w:hanging="360"/>
      </w:pPr>
    </w:lvl>
    <w:lvl w:ilvl="5" w:tplc="EF1A820C">
      <w:start w:val="1"/>
      <w:numFmt w:val="lowerRoman"/>
      <w:lvlText w:val="%6."/>
      <w:lvlJc w:val="right"/>
      <w:pPr>
        <w:tabs>
          <w:tab w:val="num" w:pos="0"/>
        </w:tabs>
        <w:ind w:left="3988" w:hanging="180"/>
      </w:pPr>
    </w:lvl>
    <w:lvl w:ilvl="6" w:tplc="8DDCCFBE">
      <w:start w:val="1"/>
      <w:numFmt w:val="decimal"/>
      <w:lvlText w:val="%7."/>
      <w:lvlJc w:val="left"/>
      <w:pPr>
        <w:tabs>
          <w:tab w:val="num" w:pos="0"/>
        </w:tabs>
        <w:ind w:left="4708" w:hanging="360"/>
      </w:pPr>
    </w:lvl>
    <w:lvl w:ilvl="7" w:tplc="5DC82E9A">
      <w:start w:val="1"/>
      <w:numFmt w:val="lowerLetter"/>
      <w:lvlText w:val="%8."/>
      <w:lvlJc w:val="left"/>
      <w:pPr>
        <w:tabs>
          <w:tab w:val="num" w:pos="0"/>
        </w:tabs>
        <w:ind w:left="5428" w:hanging="360"/>
      </w:pPr>
    </w:lvl>
    <w:lvl w:ilvl="8" w:tplc="2C2C176C">
      <w:start w:val="1"/>
      <w:numFmt w:val="lowerRoman"/>
      <w:lvlText w:val="%9."/>
      <w:lvlJc w:val="right"/>
      <w:pPr>
        <w:tabs>
          <w:tab w:val="num" w:pos="0"/>
        </w:tabs>
        <w:ind w:left="6148" w:hanging="180"/>
      </w:pPr>
    </w:lvl>
  </w:abstractNum>
  <w:abstractNum w:abstractNumId="8">
    <w:nsid w:val="6E3074FC"/>
    <w:multiLevelType w:val="hybridMultilevel"/>
    <w:tmpl w:val="2BA2504C"/>
    <w:lvl w:ilvl="0" w:tplc="F0C20630">
      <w:start w:val="1"/>
      <w:numFmt w:val="decimal"/>
      <w:lvlText w:val="%1)"/>
      <w:lvlJc w:val="left"/>
      <w:pPr>
        <w:ind w:left="1602" w:hanging="1035"/>
      </w:pPr>
      <w:rPr>
        <w:rFonts w:cs="Times New Roman" w:hint="default"/>
      </w:rPr>
    </w:lvl>
    <w:lvl w:ilvl="1" w:tplc="D6CE464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6BA8A48A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D770635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18276B6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9B8020BE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4C651B2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0268686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524C9FCC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17C0355"/>
    <w:multiLevelType w:val="hybridMultilevel"/>
    <w:tmpl w:val="20445B0C"/>
    <w:lvl w:ilvl="0" w:tplc="71EE469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99E2E33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343407F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B32410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C9697B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8C369D1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ECCD99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69622E0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96ECA5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7EAF5C6C"/>
    <w:multiLevelType w:val="hybridMultilevel"/>
    <w:tmpl w:val="C78AB780"/>
    <w:lvl w:ilvl="0" w:tplc="30C4337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B58C4A5C">
      <w:start w:val="1"/>
      <w:numFmt w:val="lowerLetter"/>
      <w:lvlText w:val="%2."/>
      <w:lvlJc w:val="left"/>
      <w:pPr>
        <w:ind w:left="1108" w:hanging="360"/>
      </w:pPr>
    </w:lvl>
    <w:lvl w:ilvl="2" w:tplc="17406CCC">
      <w:start w:val="1"/>
      <w:numFmt w:val="lowerRoman"/>
      <w:lvlText w:val="%3."/>
      <w:lvlJc w:val="right"/>
      <w:pPr>
        <w:ind w:left="1828" w:hanging="180"/>
      </w:pPr>
    </w:lvl>
    <w:lvl w:ilvl="3" w:tplc="3654B0D8">
      <w:start w:val="1"/>
      <w:numFmt w:val="decimal"/>
      <w:lvlText w:val="%4."/>
      <w:lvlJc w:val="left"/>
      <w:pPr>
        <w:ind w:left="2548" w:hanging="360"/>
      </w:pPr>
    </w:lvl>
    <w:lvl w:ilvl="4" w:tplc="BFE071F6">
      <w:start w:val="1"/>
      <w:numFmt w:val="lowerLetter"/>
      <w:lvlText w:val="%5."/>
      <w:lvlJc w:val="left"/>
      <w:pPr>
        <w:ind w:left="3268" w:hanging="360"/>
      </w:pPr>
    </w:lvl>
    <w:lvl w:ilvl="5" w:tplc="5808A492">
      <w:start w:val="1"/>
      <w:numFmt w:val="lowerRoman"/>
      <w:lvlText w:val="%6."/>
      <w:lvlJc w:val="right"/>
      <w:pPr>
        <w:ind w:left="3988" w:hanging="180"/>
      </w:pPr>
    </w:lvl>
    <w:lvl w:ilvl="6" w:tplc="0FF6D7F6">
      <w:start w:val="1"/>
      <w:numFmt w:val="decimal"/>
      <w:lvlText w:val="%7."/>
      <w:lvlJc w:val="left"/>
      <w:pPr>
        <w:ind w:left="4708" w:hanging="360"/>
      </w:pPr>
    </w:lvl>
    <w:lvl w:ilvl="7" w:tplc="7FCADBF4">
      <w:start w:val="1"/>
      <w:numFmt w:val="lowerLetter"/>
      <w:lvlText w:val="%8."/>
      <w:lvlJc w:val="left"/>
      <w:pPr>
        <w:ind w:left="5428" w:hanging="360"/>
      </w:pPr>
    </w:lvl>
    <w:lvl w:ilvl="8" w:tplc="BCEC5F3A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7372"/>
    <w:rsid w:val="00873881"/>
    <w:rsid w:val="00897372"/>
    <w:rsid w:val="00C7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72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897372"/>
    <w:pPr>
      <w:keepNext/>
      <w:jc w:val="center"/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973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973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97372"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973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9737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973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9737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973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89737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9737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9737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9737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9737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973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9737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97372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897372"/>
    <w:rPr>
      <w:sz w:val="24"/>
      <w:szCs w:val="24"/>
    </w:rPr>
  </w:style>
  <w:style w:type="character" w:customStyle="1" w:styleId="QuoteChar">
    <w:name w:val="Quote Char"/>
    <w:uiPriority w:val="29"/>
    <w:rsid w:val="00897372"/>
    <w:rPr>
      <w:i/>
    </w:rPr>
  </w:style>
  <w:style w:type="character" w:customStyle="1" w:styleId="IntenseQuoteChar">
    <w:name w:val="Intense Quote Char"/>
    <w:uiPriority w:val="30"/>
    <w:rsid w:val="00897372"/>
    <w:rPr>
      <w:i/>
    </w:rPr>
  </w:style>
  <w:style w:type="character" w:customStyle="1" w:styleId="FootnoteTextChar">
    <w:name w:val="Footnote Text Char"/>
    <w:uiPriority w:val="99"/>
    <w:rsid w:val="00897372"/>
    <w:rPr>
      <w:sz w:val="18"/>
    </w:rPr>
  </w:style>
  <w:style w:type="character" w:customStyle="1" w:styleId="EndnoteTextChar">
    <w:name w:val="Endnote Text Char"/>
    <w:uiPriority w:val="99"/>
    <w:rsid w:val="00897372"/>
    <w:rPr>
      <w:sz w:val="20"/>
    </w:rPr>
  </w:style>
  <w:style w:type="character" w:customStyle="1" w:styleId="Heading1Char">
    <w:name w:val="Heading 1 Char"/>
    <w:basedOn w:val="a0"/>
    <w:uiPriority w:val="9"/>
    <w:rsid w:val="00897372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89737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89737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89737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89737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89737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8973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89737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8973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97372"/>
  </w:style>
  <w:style w:type="character" w:customStyle="1" w:styleId="TitleChar">
    <w:name w:val="Title Char"/>
    <w:basedOn w:val="a0"/>
    <w:uiPriority w:val="10"/>
    <w:rsid w:val="00897372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897372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7372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897372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897372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973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97372"/>
    <w:rPr>
      <w:i/>
    </w:rPr>
  </w:style>
  <w:style w:type="character" w:customStyle="1" w:styleId="HeaderChar">
    <w:name w:val="Header Char"/>
    <w:basedOn w:val="a0"/>
    <w:uiPriority w:val="99"/>
    <w:rsid w:val="00897372"/>
  </w:style>
  <w:style w:type="character" w:customStyle="1" w:styleId="FooterChar">
    <w:name w:val="Footer Char"/>
    <w:basedOn w:val="a0"/>
    <w:uiPriority w:val="99"/>
    <w:rsid w:val="0089737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9737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97372"/>
  </w:style>
  <w:style w:type="table" w:customStyle="1" w:styleId="TableGridLight">
    <w:name w:val="Table Grid Light"/>
    <w:basedOn w:val="a1"/>
    <w:uiPriority w:val="59"/>
    <w:rsid w:val="008973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73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9737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73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973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973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73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73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73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73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73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73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73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737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73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73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73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73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73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73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73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737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737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737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737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737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737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737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737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73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897372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897372"/>
    <w:rPr>
      <w:sz w:val="18"/>
    </w:rPr>
  </w:style>
  <w:style w:type="character" w:styleId="aa">
    <w:name w:val="footnote reference"/>
    <w:basedOn w:val="a0"/>
    <w:uiPriority w:val="99"/>
    <w:unhideWhenUsed/>
    <w:rsid w:val="00897372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97372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897372"/>
    <w:rPr>
      <w:sz w:val="20"/>
    </w:rPr>
  </w:style>
  <w:style w:type="character" w:styleId="ad">
    <w:name w:val="endnote reference"/>
    <w:basedOn w:val="a0"/>
    <w:uiPriority w:val="99"/>
    <w:semiHidden/>
    <w:unhideWhenUsed/>
    <w:rsid w:val="0089737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97372"/>
    <w:pPr>
      <w:spacing w:after="57"/>
    </w:pPr>
  </w:style>
  <w:style w:type="paragraph" w:styleId="22">
    <w:name w:val="toc 2"/>
    <w:basedOn w:val="a"/>
    <w:next w:val="a"/>
    <w:uiPriority w:val="39"/>
    <w:unhideWhenUsed/>
    <w:rsid w:val="0089737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9737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9737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9737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9737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9737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9737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97372"/>
    <w:pPr>
      <w:spacing w:after="57"/>
      <w:ind w:left="2268"/>
    </w:pPr>
  </w:style>
  <w:style w:type="paragraph" w:styleId="ae">
    <w:name w:val="TOC Heading"/>
    <w:uiPriority w:val="39"/>
    <w:unhideWhenUsed/>
    <w:rsid w:val="00897372"/>
  </w:style>
  <w:style w:type="paragraph" w:styleId="af">
    <w:name w:val="table of figures"/>
    <w:basedOn w:val="a"/>
    <w:next w:val="a"/>
    <w:uiPriority w:val="99"/>
    <w:unhideWhenUsed/>
    <w:rsid w:val="00897372"/>
  </w:style>
  <w:style w:type="character" w:customStyle="1" w:styleId="1">
    <w:name w:val="Заголовок 1 Знак"/>
    <w:link w:val="Heading1"/>
    <w:uiPriority w:val="9"/>
    <w:rsid w:val="00897372"/>
    <w:rPr>
      <w:rFonts w:ascii="Cambria" w:eastAsia="Times New Roman" w:hAnsi="Cambria" w:cs="Times New Roman"/>
      <w:b/>
      <w:bCs/>
      <w:sz w:val="32"/>
      <w:szCs w:val="32"/>
    </w:rPr>
  </w:style>
  <w:style w:type="paragraph" w:styleId="af0">
    <w:name w:val="Title"/>
    <w:basedOn w:val="a"/>
    <w:link w:val="af1"/>
    <w:uiPriority w:val="10"/>
    <w:qFormat/>
    <w:rsid w:val="00897372"/>
    <w:pPr>
      <w:jc w:val="center"/>
    </w:pPr>
    <w:rPr>
      <w:b/>
      <w:bCs/>
    </w:rPr>
  </w:style>
  <w:style w:type="character" w:styleId="af2">
    <w:name w:val="Hyperlink"/>
    <w:uiPriority w:val="99"/>
    <w:unhideWhenUsed/>
    <w:rsid w:val="00897372"/>
    <w:rPr>
      <w:rFonts w:cs="Times New Roman"/>
      <w:color w:val="0000FF"/>
      <w:u w:val="single"/>
    </w:rPr>
  </w:style>
  <w:style w:type="character" w:customStyle="1" w:styleId="af1">
    <w:name w:val="Название Знак"/>
    <w:link w:val="af0"/>
    <w:uiPriority w:val="10"/>
    <w:rsid w:val="00897372"/>
    <w:rPr>
      <w:rFonts w:ascii="Cambria" w:eastAsia="Times New Roman" w:hAnsi="Cambria" w:cs="Times New Roman"/>
      <w:b/>
      <w:bCs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89737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97372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897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6"/>
    <w:uiPriority w:val="99"/>
    <w:rsid w:val="008973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Header"/>
    <w:uiPriority w:val="99"/>
    <w:rsid w:val="00897372"/>
    <w:rPr>
      <w:rFonts w:cs="Times New Roman"/>
      <w:sz w:val="26"/>
      <w:szCs w:val="26"/>
    </w:rPr>
  </w:style>
  <w:style w:type="paragraph" w:customStyle="1" w:styleId="Footer">
    <w:name w:val="Footer"/>
    <w:basedOn w:val="a"/>
    <w:link w:val="af7"/>
    <w:uiPriority w:val="99"/>
    <w:rsid w:val="0089737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Footer"/>
    <w:uiPriority w:val="99"/>
    <w:rsid w:val="00897372"/>
    <w:rPr>
      <w:rFonts w:cs="Times New Roman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897372"/>
    <w:pPr>
      <w:ind w:left="720"/>
      <w:contextualSpacing/>
    </w:pPr>
  </w:style>
  <w:style w:type="character" w:customStyle="1" w:styleId="blk">
    <w:name w:val="blk"/>
    <w:rsid w:val="00897372"/>
  </w:style>
  <w:style w:type="paragraph" w:styleId="afa">
    <w:name w:val="Plain Text"/>
    <w:basedOn w:val="a"/>
    <w:link w:val="afb"/>
    <w:rsid w:val="00897372"/>
    <w:rPr>
      <w:rFonts w:ascii="Consolas" w:hAnsi="Consolas" w:cs="Consolas"/>
      <w:sz w:val="21"/>
      <w:szCs w:val="21"/>
      <w:lang w:eastAsia="en-US"/>
    </w:rPr>
  </w:style>
  <w:style w:type="character" w:customStyle="1" w:styleId="afb">
    <w:name w:val="Текст Знак"/>
    <w:link w:val="afa"/>
    <w:rsid w:val="00897372"/>
    <w:rPr>
      <w:rFonts w:ascii="Consolas" w:hAnsi="Consolas" w:cs="Consolas"/>
      <w:sz w:val="21"/>
      <w:szCs w:val="21"/>
      <w:lang w:eastAsia="en-US"/>
    </w:rPr>
  </w:style>
  <w:style w:type="paragraph" w:customStyle="1" w:styleId="Default">
    <w:name w:val="Default"/>
    <w:rsid w:val="00897372"/>
    <w:rPr>
      <w:color w:val="000000"/>
      <w:sz w:val="24"/>
      <w:szCs w:val="24"/>
    </w:rPr>
  </w:style>
  <w:style w:type="paragraph" w:customStyle="1" w:styleId="000">
    <w:name w:val="Основной текст с отст000"/>
    <w:basedOn w:val="a"/>
    <w:rsid w:val="00897372"/>
    <w:pPr>
      <w:widowControl w:val="0"/>
      <w:ind w:firstLine="720"/>
      <w:jc w:val="both"/>
    </w:pPr>
    <w:rPr>
      <w:sz w:val="24"/>
      <w:szCs w:val="24"/>
      <w:lang w:eastAsia="ar-SA"/>
    </w:rPr>
  </w:style>
  <w:style w:type="paragraph" w:styleId="afc">
    <w:name w:val="Body Text"/>
    <w:basedOn w:val="a"/>
    <w:link w:val="afd"/>
    <w:uiPriority w:val="99"/>
    <w:semiHidden/>
    <w:unhideWhenUsed/>
    <w:rsid w:val="00897372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97372"/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9737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897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897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5"/>
    <w:uiPriority w:val="59"/>
    <w:rsid w:val="00897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5"/>
    <w:uiPriority w:val="59"/>
    <w:rsid w:val="00897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5"/>
    <w:uiPriority w:val="59"/>
    <w:rsid w:val="00897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5"/>
    <w:uiPriority w:val="59"/>
    <w:rsid w:val="00897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5"/>
    <w:uiPriority w:val="59"/>
    <w:rsid w:val="00897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5"/>
    <w:uiPriority w:val="59"/>
    <w:rsid w:val="00897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Абзац списка Знак"/>
    <w:basedOn w:val="a0"/>
    <w:link w:val="af8"/>
    <w:uiPriority w:val="34"/>
    <w:qFormat/>
    <w:rsid w:val="00897372"/>
    <w:rPr>
      <w:sz w:val="26"/>
      <w:szCs w:val="26"/>
    </w:rPr>
  </w:style>
  <w:style w:type="table" w:customStyle="1" w:styleId="12">
    <w:name w:val="Сетка таблицы12"/>
    <w:basedOn w:val="a1"/>
    <w:next w:val="af5"/>
    <w:uiPriority w:val="59"/>
    <w:rsid w:val="00897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5"/>
    <w:uiPriority w:val="59"/>
    <w:rsid w:val="00897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1064</Words>
  <Characters>6071</Characters>
  <Application>Microsoft Office Word</Application>
  <DocSecurity>0</DocSecurity>
  <Lines>50</Lines>
  <Paragraphs>14</Paragraphs>
  <ScaleCrop>false</ScaleCrop>
  <Company>Комитет по культуре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Иркутской  области</dc:title>
  <dc:creator>Shmakova Olga</dc:creator>
  <cp:lastModifiedBy>Home</cp:lastModifiedBy>
  <cp:revision>105</cp:revision>
  <dcterms:created xsi:type="dcterms:W3CDTF">2022-04-28T09:15:00Z</dcterms:created>
  <dcterms:modified xsi:type="dcterms:W3CDTF">2025-09-19T12:22:00Z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1585731504</vt:i4>
  </property>
  <property fmtid="{D5CDD505-2E9C-101B-9397-08002B2CF9AE}" pid="3" name="_EmailSubject">
    <vt:lpwstr>Комитет по культуре</vt:lpwstr>
  </property>
  <property fmtid="{D5CDD505-2E9C-101B-9397-08002B2CF9AE}" pid="4" name="_AuthorEmail">
    <vt:lpwstr>cultura@irmail.ru</vt:lpwstr>
  </property>
  <property fmtid="{D5CDD505-2E9C-101B-9397-08002B2CF9AE}" pid="5" name="_AuthorEmailDisplayName">
    <vt:lpwstr>cultura</vt:lpwstr>
  </property>
  <property fmtid="{D5CDD505-2E9C-101B-9397-08002B2CF9AE}" pid="6" name="_ReviewingToolsShownOnce">
    <vt:lpwstr/>
  </property>
</Properties>
</file>