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29" w:rsidRDefault="00B30B2C" w:rsidP="00CC4A29">
      <w:pPr>
        <w:ind w:firstLine="709"/>
        <w:rPr>
          <w:rFonts w:ascii="Times New Roman" w:hAnsi="Times New Roman"/>
          <w:sz w:val="8"/>
          <w:lang w:val="en-US"/>
        </w:rPr>
      </w:pPr>
      <w:r>
        <w:rPr>
          <w:rFonts w:ascii="Times New Roman" w:hAnsi="Times New Roman"/>
          <w:caps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1.05pt;width:61.05pt;height:72.8pt;z-index:251658240">
            <v:imagedata r:id="rId7" o:title=""/>
            <w10:wrap type="topAndBottom"/>
          </v:shape>
          <o:OLEObject Type="Embed" ProgID="CorelDraw.Graphic.8" ShapeID="_x0000_s1026" DrawAspect="Content" ObjectID="_1729673588" r:id="rId8"/>
        </w:object>
      </w:r>
    </w:p>
    <w:p w:rsidR="00CC4A29" w:rsidRDefault="00CC4A29" w:rsidP="00CC4A29">
      <w:pPr>
        <w:tabs>
          <w:tab w:val="left" w:pos="9355"/>
        </w:tabs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r>
        <w:rPr>
          <w:rFonts w:ascii="Times New Roman" w:hAnsi="Times New Roman"/>
          <w:caps/>
          <w:sz w:val="28"/>
          <w:szCs w:val="28"/>
        </w:rPr>
        <w:t>МИНИСТЕРСТВО ТРАНСПОРТА И ДОРОЖНОГО ХОЗЯЙСТВА</w:t>
      </w:r>
    </w:p>
    <w:p w:rsidR="00CC4A29" w:rsidRPr="00FC692E" w:rsidRDefault="00CC4A29" w:rsidP="00CC4A29">
      <w:pPr>
        <w:tabs>
          <w:tab w:val="left" w:pos="9355"/>
        </w:tabs>
        <w:jc w:val="center"/>
        <w:rPr>
          <w:rFonts w:ascii="Times New Roman" w:hAnsi="Times New Roman"/>
          <w:caps/>
          <w:sz w:val="28"/>
          <w:szCs w:val="28"/>
        </w:rPr>
      </w:pPr>
      <w:r w:rsidRPr="00FC692E">
        <w:rPr>
          <w:rFonts w:ascii="Times New Roman" w:hAnsi="Times New Roman"/>
          <w:caps/>
          <w:sz w:val="28"/>
          <w:szCs w:val="28"/>
        </w:rPr>
        <w:t>Иркутской области</w:t>
      </w:r>
    </w:p>
    <w:p w:rsidR="00CC4A29" w:rsidRPr="00706599" w:rsidRDefault="00CC4A29" w:rsidP="00CC4A29">
      <w:pPr>
        <w:pStyle w:val="2"/>
        <w:tabs>
          <w:tab w:val="left" w:pos="9355"/>
        </w:tabs>
        <w:ind w:left="0"/>
      </w:pPr>
      <w:r>
        <w:t>П Р И К А З</w:t>
      </w:r>
    </w:p>
    <w:p w:rsidR="005975F1" w:rsidRDefault="005975F1" w:rsidP="00CC4A29">
      <w:pPr>
        <w:tabs>
          <w:tab w:val="left" w:pos="2835"/>
          <w:tab w:val="left" w:pos="5529"/>
          <w:tab w:val="left" w:pos="7371"/>
          <w:tab w:val="left" w:pos="9355"/>
        </w:tabs>
        <w:suppressAutoHyphens/>
        <w:spacing w:before="120" w:after="120"/>
        <w:rPr>
          <w:rFonts w:ascii="Times New Roman" w:hAnsi="Times New Roman"/>
        </w:rPr>
      </w:pPr>
    </w:p>
    <w:p w:rsidR="00CC4A29" w:rsidRPr="00132EA1" w:rsidRDefault="009606C6" w:rsidP="00CC4A29">
      <w:pPr>
        <w:tabs>
          <w:tab w:val="left" w:pos="2835"/>
          <w:tab w:val="left" w:pos="5529"/>
          <w:tab w:val="left" w:pos="7371"/>
          <w:tab w:val="left" w:pos="9355"/>
        </w:tabs>
        <w:suppressAutoHyphens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8 ноября 2022 года</w:t>
      </w:r>
      <w:r w:rsidR="00CC4A29" w:rsidRPr="00132EA1">
        <w:rPr>
          <w:rFonts w:ascii="Times New Roman" w:hAnsi="Times New Roman"/>
        </w:rPr>
        <w:t xml:space="preserve">                   </w:t>
      </w:r>
      <w:r w:rsidR="00CC4A29">
        <w:rPr>
          <w:rFonts w:ascii="Times New Roman" w:hAnsi="Times New Roman"/>
        </w:rPr>
        <w:t xml:space="preserve"> </w:t>
      </w:r>
      <w:r w:rsidR="00C51513">
        <w:rPr>
          <w:rFonts w:ascii="Times New Roman" w:hAnsi="Times New Roman"/>
        </w:rPr>
        <w:t xml:space="preserve"> </w:t>
      </w:r>
      <w:r w:rsidR="00CC4A29">
        <w:rPr>
          <w:rFonts w:ascii="Times New Roman" w:hAnsi="Times New Roman"/>
        </w:rPr>
        <w:t xml:space="preserve">                                                                  №</w:t>
      </w:r>
      <w:r>
        <w:rPr>
          <w:rFonts w:ascii="Times New Roman" w:hAnsi="Times New Roman"/>
        </w:rPr>
        <w:t xml:space="preserve"> 61-44-мпр</w:t>
      </w:r>
    </w:p>
    <w:p w:rsidR="00CC4A29" w:rsidRPr="00132EA1" w:rsidRDefault="00CC4A29" w:rsidP="00CC4A29">
      <w:pPr>
        <w:tabs>
          <w:tab w:val="left" w:pos="9355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CC4A29" w:rsidRPr="002E6C33" w:rsidRDefault="00CC4A29" w:rsidP="00CC4A2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E0B" w:rsidRDefault="00B54E0B" w:rsidP="00CC4A29">
      <w:pPr>
        <w:pStyle w:val="ConsPlusTitle"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CC4A29" w:rsidRPr="009155A9" w:rsidRDefault="009155A9" w:rsidP="00CC4A29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28"/>
        </w:rPr>
      </w:pPr>
      <w:r w:rsidRPr="009155A9">
        <w:rPr>
          <w:rFonts w:ascii="Times New Roman" w:eastAsiaTheme="minorHAnsi" w:hAnsi="Times New Roman"/>
          <w:sz w:val="28"/>
          <w:szCs w:val="24"/>
          <w:lang w:eastAsia="en-US"/>
        </w:rPr>
        <w:t>О</w:t>
      </w:r>
      <w:r w:rsidR="00991298">
        <w:rPr>
          <w:rFonts w:ascii="Times New Roman" w:eastAsiaTheme="minorHAnsi" w:hAnsi="Times New Roman"/>
          <w:sz w:val="28"/>
          <w:szCs w:val="24"/>
          <w:lang w:eastAsia="en-US"/>
        </w:rPr>
        <w:t xml:space="preserve"> внесении изменения в</w:t>
      </w:r>
      <w:r w:rsidRPr="009155A9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252EAF">
        <w:rPr>
          <w:rFonts w:ascii="Times New Roman" w:eastAsiaTheme="minorHAnsi" w:hAnsi="Times New Roman"/>
          <w:sz w:val="28"/>
          <w:szCs w:val="24"/>
          <w:lang w:eastAsia="en-US"/>
        </w:rPr>
        <w:t>П</w:t>
      </w:r>
      <w:r w:rsidRPr="009155A9">
        <w:rPr>
          <w:rFonts w:ascii="Times New Roman" w:eastAsiaTheme="minorHAnsi" w:hAnsi="Times New Roman"/>
          <w:sz w:val="28"/>
          <w:szCs w:val="24"/>
          <w:lang w:eastAsia="en-US"/>
        </w:rPr>
        <w:t>оряд</w:t>
      </w:r>
      <w:r w:rsidR="00991298">
        <w:rPr>
          <w:rFonts w:ascii="Times New Roman" w:eastAsiaTheme="minorHAnsi" w:hAnsi="Times New Roman"/>
          <w:sz w:val="28"/>
          <w:szCs w:val="24"/>
          <w:lang w:eastAsia="en-US"/>
        </w:rPr>
        <w:t>о</w:t>
      </w:r>
      <w:r w:rsidRPr="009155A9">
        <w:rPr>
          <w:rFonts w:ascii="Times New Roman" w:eastAsiaTheme="minorHAnsi" w:hAnsi="Times New Roman"/>
          <w:sz w:val="28"/>
          <w:szCs w:val="24"/>
          <w:lang w:eastAsia="en-US"/>
        </w:rPr>
        <w:t xml:space="preserve">к </w:t>
      </w:r>
      <w:r w:rsidR="00CA0670">
        <w:rPr>
          <w:rFonts w:ascii="Times New Roman" w:eastAsiaTheme="minorHAnsi" w:hAnsi="Times New Roman"/>
          <w:sz w:val="28"/>
          <w:szCs w:val="24"/>
          <w:lang w:eastAsia="en-US"/>
        </w:rPr>
        <w:t xml:space="preserve">проведения ежегодной оценки эффективности (результативности) предоставления (использования) субсидий из областного бюджета местным бюджетам на компенсацию расходов по перевозке пассажиров, грузов, необходимых для жизнеобеспечения населения, </w:t>
      </w:r>
      <w:r w:rsidR="00B54E0B">
        <w:rPr>
          <w:rFonts w:ascii="Times New Roman" w:eastAsiaTheme="minorHAnsi" w:hAnsi="Times New Roman"/>
          <w:sz w:val="28"/>
          <w:szCs w:val="24"/>
          <w:lang w:eastAsia="en-US"/>
        </w:rPr>
        <w:t>авиационным</w:t>
      </w:r>
      <w:r w:rsidR="00CA0670">
        <w:rPr>
          <w:rFonts w:ascii="Times New Roman" w:eastAsiaTheme="minorHAnsi" w:hAnsi="Times New Roman"/>
          <w:sz w:val="28"/>
          <w:szCs w:val="24"/>
          <w:lang w:eastAsia="en-US"/>
        </w:rPr>
        <w:t xml:space="preserve"> транспортом</w:t>
      </w:r>
    </w:p>
    <w:bookmarkEnd w:id="0"/>
    <w:p w:rsidR="00CC4A29" w:rsidRPr="00CF1BC3" w:rsidRDefault="00CC4A29" w:rsidP="00854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A9" w:rsidRPr="00CF1BC3" w:rsidRDefault="009155A9" w:rsidP="00546DB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CA0670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155A9">
        <w:rPr>
          <w:rFonts w:ascii="Times New Roman" w:eastAsiaTheme="minorHAnsi" w:hAnsi="Times New Roman"/>
          <w:sz w:val="28"/>
          <w:szCs w:val="28"/>
          <w:lang w:eastAsia="en-US"/>
        </w:rPr>
        <w:t>постановлением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Иркутской области от </w:t>
      </w:r>
      <w:r w:rsidR="00CA067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0670">
        <w:rPr>
          <w:rFonts w:ascii="Times New Roman" w:eastAsiaTheme="minorHAnsi" w:hAnsi="Times New Roman"/>
          <w:sz w:val="28"/>
          <w:szCs w:val="28"/>
          <w:lang w:eastAsia="en-US"/>
        </w:rPr>
        <w:t>мая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201</w:t>
      </w:r>
      <w:r w:rsidR="00CA0670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</w:t>
      </w:r>
      <w:r w:rsidR="00CA0670">
        <w:rPr>
          <w:rFonts w:ascii="Times New Roman" w:eastAsiaTheme="minorHAnsi" w:hAnsi="Times New Roman"/>
          <w:sz w:val="28"/>
          <w:szCs w:val="28"/>
          <w:lang w:eastAsia="en-US"/>
        </w:rPr>
        <w:t>261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-пп «</w:t>
      </w:r>
      <w:r w:rsidR="00CA0670" w:rsidRPr="00CA0670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Положения о предоставлении субсидий из областного бюджета местным бюджетам на компенсацию расходов по перевозке пассажиров, грузов, необходимых для жизнеобеспечения населения, авиационным и автомобильным транспортом и о внесении изменений в государственную программу Иркутской области </w:t>
      </w:r>
      <w:r w:rsidR="00CA067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A0670" w:rsidRPr="00CA0670">
        <w:rPr>
          <w:rFonts w:ascii="Times New Roman" w:eastAsiaTheme="minorHAnsi" w:hAnsi="Times New Roman"/>
          <w:sz w:val="28"/>
          <w:szCs w:val="28"/>
          <w:lang w:eastAsia="en-US"/>
        </w:rPr>
        <w:t>Развитие транспортного комплекса Иркутской области</w:t>
      </w:r>
      <w:r w:rsidR="00CA067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A0670" w:rsidRPr="00CA0670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2014 - 2018 годы</w:t>
      </w:r>
      <w:r w:rsidRPr="00CA0670">
        <w:rPr>
          <w:rFonts w:ascii="Times New Roman" w:eastAsiaTheme="minorHAnsi" w:hAnsi="Times New Roman"/>
          <w:sz w:val="28"/>
          <w:szCs w:val="28"/>
          <w:lang w:eastAsia="en-US"/>
        </w:rPr>
        <w:t>»,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руководствуясь </w:t>
      </w:r>
      <w:r w:rsidRPr="009155A9">
        <w:rPr>
          <w:rFonts w:ascii="Times New Roman" w:eastAsiaTheme="minorHAnsi" w:hAnsi="Times New Roman"/>
          <w:sz w:val="28"/>
          <w:szCs w:val="28"/>
          <w:lang w:eastAsia="en-US"/>
        </w:rPr>
        <w:t>статьей 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Иркутской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1BC3">
        <w:rPr>
          <w:rFonts w:ascii="Times New Roman" w:hAnsi="Times New Roman"/>
          <w:sz w:val="28"/>
          <w:szCs w:val="28"/>
        </w:rPr>
        <w:t>Положением о министерстве транспорта и дорожного хозяйства Иркутской области, утвержденным постановлением Правительства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BC3">
        <w:rPr>
          <w:rFonts w:ascii="Times New Roman" w:hAnsi="Times New Roman"/>
          <w:sz w:val="28"/>
          <w:szCs w:val="28"/>
        </w:rPr>
        <w:t xml:space="preserve">от 1 марта 2021 года № 122-пп, </w:t>
      </w:r>
    </w:p>
    <w:p w:rsidR="009155A9" w:rsidRPr="00CF1BC3" w:rsidRDefault="009155A9" w:rsidP="00546DBB">
      <w:pPr>
        <w:pStyle w:val="ConsPlusNormal"/>
        <w:tabs>
          <w:tab w:val="left" w:pos="1134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C3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155A9" w:rsidRDefault="00991298" w:rsidP="00B54E0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изменение в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П</w:t>
      </w:r>
      <w:r w:rsidRPr="009155A9">
        <w:rPr>
          <w:rFonts w:ascii="Times New Roman" w:eastAsiaTheme="minorHAnsi" w:hAnsi="Times New Roman"/>
          <w:sz w:val="28"/>
          <w:szCs w:val="24"/>
          <w:lang w:eastAsia="en-US"/>
        </w:rPr>
        <w:t>оряд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о</w:t>
      </w:r>
      <w:r w:rsidRPr="009155A9">
        <w:rPr>
          <w:rFonts w:ascii="Times New Roman" w:eastAsiaTheme="minorHAnsi" w:hAnsi="Times New Roman"/>
          <w:sz w:val="28"/>
          <w:szCs w:val="24"/>
          <w:lang w:eastAsia="en-US"/>
        </w:rPr>
        <w:t xml:space="preserve">к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проведения ежегодной оценки эффективности (результативности) предоставления (использования) субсидий из областного бюджета местным бюджетам на компенсацию расходов по перевозке пассажиров, грузов, необходимых для жизнеобеспечения населения, авиационным транспортом, утвержденный приказом министерства транспорта и дорожного хозяйства Иркутской области от 28 сентября 2022 года № 61-38-мпр, изложив его в новой редакции</w:t>
      </w:r>
      <w:r w:rsidR="00A0478B" w:rsidRPr="00546D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55A9" w:rsidRPr="00546DBB">
        <w:rPr>
          <w:rFonts w:ascii="Times New Roman" w:eastAsiaTheme="minorHAnsi" w:hAnsi="Times New Roman"/>
          <w:sz w:val="28"/>
          <w:szCs w:val="28"/>
          <w:lang w:eastAsia="en-US"/>
        </w:rPr>
        <w:t>(прилагается).</w:t>
      </w:r>
    </w:p>
    <w:p w:rsidR="00546DBB" w:rsidRPr="00B54E0B" w:rsidRDefault="00B54E0B" w:rsidP="00B54E0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E0B">
        <w:rPr>
          <w:rFonts w:ascii="Times New Roman" w:hAnsi="Times New Roman" w:hint="eastAsia"/>
          <w:sz w:val="28"/>
          <w:szCs w:val="28"/>
        </w:rPr>
        <w:t>Настоящий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приказ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подлежит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официальному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опубликованию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в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общественно</w:t>
      </w:r>
      <w:r w:rsidRPr="00B54E0B">
        <w:rPr>
          <w:rFonts w:ascii="Times New Roman" w:hAnsi="Times New Roman"/>
          <w:sz w:val="28"/>
          <w:szCs w:val="28"/>
        </w:rPr>
        <w:t>-</w:t>
      </w:r>
      <w:r w:rsidRPr="00B54E0B">
        <w:rPr>
          <w:rFonts w:ascii="Times New Roman" w:hAnsi="Times New Roman" w:hint="eastAsia"/>
          <w:sz w:val="28"/>
          <w:szCs w:val="28"/>
        </w:rPr>
        <w:t>политической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газете</w:t>
      </w:r>
      <w:r w:rsidRPr="00B54E0B">
        <w:rPr>
          <w:rFonts w:ascii="Times New Roman" w:hAnsi="Times New Roman"/>
          <w:sz w:val="28"/>
          <w:szCs w:val="28"/>
        </w:rPr>
        <w:t xml:space="preserve"> «</w:t>
      </w:r>
      <w:r w:rsidRPr="00B54E0B">
        <w:rPr>
          <w:rFonts w:ascii="Times New Roman" w:hAnsi="Times New Roman" w:hint="eastAsia"/>
          <w:sz w:val="28"/>
          <w:szCs w:val="28"/>
        </w:rPr>
        <w:t>Областная»</w:t>
      </w:r>
      <w:r w:rsidRPr="00B54E0B">
        <w:rPr>
          <w:rFonts w:ascii="Times New Roman" w:hAnsi="Times New Roman"/>
          <w:sz w:val="28"/>
          <w:szCs w:val="28"/>
        </w:rPr>
        <w:t xml:space="preserve">, </w:t>
      </w:r>
      <w:r w:rsidRPr="00B54E0B">
        <w:rPr>
          <w:rFonts w:ascii="Times New Roman" w:hAnsi="Times New Roman" w:hint="eastAsia"/>
          <w:sz w:val="28"/>
          <w:szCs w:val="28"/>
        </w:rPr>
        <w:t>сетевом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издании</w:t>
      </w:r>
      <w:r w:rsidRPr="00B54E0B">
        <w:rPr>
          <w:rFonts w:ascii="Times New Roman" w:hAnsi="Times New Roman"/>
          <w:sz w:val="28"/>
          <w:szCs w:val="28"/>
        </w:rPr>
        <w:t xml:space="preserve"> «</w:t>
      </w:r>
      <w:r w:rsidRPr="00B54E0B">
        <w:rPr>
          <w:rFonts w:ascii="Times New Roman" w:hAnsi="Times New Roman" w:hint="eastAsia"/>
          <w:sz w:val="28"/>
          <w:szCs w:val="28"/>
        </w:rPr>
        <w:t>Официальный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интернет</w:t>
      </w:r>
      <w:r w:rsidRPr="00B54E0B">
        <w:rPr>
          <w:rFonts w:ascii="Times New Roman" w:hAnsi="Times New Roman"/>
          <w:sz w:val="28"/>
          <w:szCs w:val="28"/>
        </w:rPr>
        <w:t>-</w:t>
      </w:r>
      <w:r w:rsidRPr="00B54E0B">
        <w:rPr>
          <w:rFonts w:ascii="Times New Roman" w:hAnsi="Times New Roman" w:hint="eastAsia"/>
          <w:sz w:val="28"/>
          <w:szCs w:val="28"/>
        </w:rPr>
        <w:t>портал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правовой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информации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Иркутской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области</w:t>
      </w:r>
      <w:r w:rsidR="007124A7">
        <w:rPr>
          <w:rFonts w:ascii="Times New Roman" w:hAnsi="Times New Roman"/>
          <w:sz w:val="28"/>
          <w:szCs w:val="28"/>
        </w:rPr>
        <w:t>»</w:t>
      </w:r>
      <w:r w:rsidRPr="00B54E0B">
        <w:rPr>
          <w:rFonts w:ascii="Times New Roman" w:hAnsi="Times New Roman"/>
          <w:sz w:val="28"/>
          <w:szCs w:val="28"/>
        </w:rPr>
        <w:t xml:space="preserve"> (ogirk.ru), </w:t>
      </w:r>
      <w:r w:rsidR="007124A7">
        <w:rPr>
          <w:rFonts w:ascii="Times New Roman" w:hAnsi="Times New Roman"/>
          <w:sz w:val="28"/>
          <w:szCs w:val="28"/>
        </w:rPr>
        <w:t xml:space="preserve">а также </w:t>
      </w:r>
      <w:r w:rsidRPr="00B54E0B">
        <w:rPr>
          <w:rFonts w:ascii="Times New Roman" w:hAnsi="Times New Roman" w:hint="eastAsia"/>
          <w:sz w:val="28"/>
          <w:szCs w:val="28"/>
        </w:rPr>
        <w:t>на</w:t>
      </w:r>
      <w:r w:rsidRPr="00B54E0B">
        <w:rPr>
          <w:rFonts w:ascii="Times New Roman" w:hAnsi="Times New Roman"/>
          <w:sz w:val="28"/>
          <w:szCs w:val="28"/>
        </w:rPr>
        <w:t xml:space="preserve"> «</w:t>
      </w:r>
      <w:r w:rsidRPr="00B54E0B">
        <w:rPr>
          <w:rFonts w:ascii="Times New Roman" w:hAnsi="Times New Roman" w:hint="eastAsia"/>
          <w:sz w:val="28"/>
          <w:szCs w:val="28"/>
        </w:rPr>
        <w:t>Официальном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интернет</w:t>
      </w:r>
      <w:r w:rsidRPr="00B54E0B">
        <w:rPr>
          <w:rFonts w:ascii="Times New Roman" w:hAnsi="Times New Roman"/>
          <w:sz w:val="28"/>
          <w:szCs w:val="28"/>
        </w:rPr>
        <w:t>-</w:t>
      </w:r>
      <w:r w:rsidRPr="00B54E0B">
        <w:rPr>
          <w:rFonts w:ascii="Times New Roman" w:hAnsi="Times New Roman" w:hint="eastAsia"/>
          <w:sz w:val="28"/>
          <w:szCs w:val="28"/>
        </w:rPr>
        <w:t>портале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правовой</w:t>
      </w:r>
      <w:r w:rsidRPr="00B54E0B">
        <w:rPr>
          <w:rFonts w:ascii="Times New Roman" w:hAnsi="Times New Roman"/>
          <w:sz w:val="28"/>
          <w:szCs w:val="28"/>
        </w:rPr>
        <w:t xml:space="preserve"> </w:t>
      </w:r>
      <w:r w:rsidRPr="00B54E0B">
        <w:rPr>
          <w:rFonts w:ascii="Times New Roman" w:hAnsi="Times New Roman" w:hint="eastAsia"/>
          <w:sz w:val="28"/>
          <w:szCs w:val="28"/>
        </w:rPr>
        <w:t>информации»</w:t>
      </w:r>
      <w:r w:rsidRPr="00B54E0B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B54E0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B54E0B">
        <w:rPr>
          <w:rFonts w:ascii="Times New Roman" w:hAnsi="Times New Roman"/>
          <w:sz w:val="28"/>
          <w:szCs w:val="28"/>
        </w:rPr>
        <w:t>).</w:t>
      </w:r>
    </w:p>
    <w:p w:rsidR="00B54E0B" w:rsidRPr="00546DBB" w:rsidRDefault="00B54E0B" w:rsidP="00B54E0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55A9" w:rsidRDefault="009155A9" w:rsidP="00CC4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CC4A29" w:rsidP="00CC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9E513A">
        <w:rPr>
          <w:rFonts w:ascii="Times New Roman" w:hAnsi="Times New Roman" w:cs="Times New Roman"/>
          <w:sz w:val="28"/>
          <w:szCs w:val="28"/>
        </w:rPr>
        <w:t xml:space="preserve"> транспорта и дорожного </w:t>
      </w:r>
    </w:p>
    <w:p w:rsidR="00CC4A29" w:rsidRDefault="009E513A" w:rsidP="00CC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Иркутской области</w:t>
      </w:r>
      <w:r w:rsidR="00CC4A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5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CC4A29">
        <w:rPr>
          <w:rFonts w:ascii="Times New Roman" w:hAnsi="Times New Roman" w:cs="Times New Roman"/>
          <w:sz w:val="28"/>
          <w:szCs w:val="28"/>
        </w:rPr>
        <w:t>М.А. Лобанов</w:t>
      </w:r>
    </w:p>
    <w:p w:rsidR="009606C6" w:rsidRPr="002E6C33" w:rsidRDefault="009606C6" w:rsidP="00CC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A4C" w:rsidRPr="00407202" w:rsidRDefault="002F7A4C" w:rsidP="002F7A4C">
      <w:pPr>
        <w:ind w:left="5245"/>
        <w:rPr>
          <w:rFonts w:ascii="Times New Roman" w:hAnsi="Times New Roman"/>
          <w:sz w:val="28"/>
        </w:rPr>
      </w:pPr>
      <w:r w:rsidRPr="00407202">
        <w:rPr>
          <w:rFonts w:ascii="Times New Roman" w:hAnsi="Times New Roman"/>
          <w:sz w:val="28"/>
        </w:rPr>
        <w:lastRenderedPageBreak/>
        <w:t>УСТАНОВЛЕН</w:t>
      </w:r>
    </w:p>
    <w:p w:rsidR="002F7A4C" w:rsidRDefault="002F7A4C" w:rsidP="002F7A4C">
      <w:pPr>
        <w:ind w:left="5245"/>
        <w:jc w:val="both"/>
        <w:rPr>
          <w:rFonts w:ascii="Times New Roman" w:hAnsi="Times New Roman"/>
          <w:sz w:val="28"/>
          <w:szCs w:val="28"/>
        </w:rPr>
      </w:pPr>
      <w:r w:rsidRPr="00407202">
        <w:rPr>
          <w:rFonts w:ascii="Times New Roman" w:hAnsi="Times New Roman"/>
          <w:sz w:val="28"/>
          <w:szCs w:val="28"/>
        </w:rPr>
        <w:t>приказом министерства транспорта и дорожного хозяйства Иркутской области от</w:t>
      </w:r>
      <w:r w:rsidR="009606C6">
        <w:rPr>
          <w:rFonts w:ascii="Times New Roman" w:hAnsi="Times New Roman"/>
          <w:sz w:val="28"/>
          <w:szCs w:val="28"/>
        </w:rPr>
        <w:t xml:space="preserve"> 8 ноября 2022 года № 61-44-мпр</w:t>
      </w:r>
    </w:p>
    <w:p w:rsidR="002F7A4C" w:rsidRDefault="002F7A4C" w:rsidP="002F7A4C">
      <w:pPr>
        <w:ind w:left="5245"/>
        <w:jc w:val="both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7A4C" w:rsidRPr="00407202" w:rsidRDefault="002F7A4C" w:rsidP="002F7A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720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righ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033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ЕЖЕГОДНОЙ ОЦЕНКИ ЭФФЕКТИВНОСТИ (РЕЗУЛЬТАТИВНОСТИ)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BD0337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ИСПОЛЬЗОВАНИЯ) СУБСИДИЙ ИЗ ОБЛАСТНОГО БЮДЖЕТА МЕСТНЫМ БЮДЖЕТАМ НА КОМПЕНСАЦИЮ РАСХОДОВ ПО ПЕРЕВОЗКЕ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ПАССАЖИРОВ, </w:t>
      </w:r>
      <w:r w:rsidRPr="00BD0337">
        <w:rPr>
          <w:rFonts w:ascii="Times New Roman" w:hAnsi="Times New Roman"/>
          <w:b/>
          <w:bCs/>
          <w:color w:val="000000"/>
          <w:sz w:val="28"/>
          <w:szCs w:val="28"/>
        </w:rPr>
        <w:t>ГРУЗОВ, НЕОБХОДИМЫХ ДЛЯ ЖИЗНЕОБЕСПЕЧЕНИЯ НАСЕЛЕНИЯ, АВИАЦИОННЫМ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0337">
        <w:rPr>
          <w:rFonts w:ascii="Times New Roman" w:hAnsi="Times New Roman"/>
          <w:b/>
          <w:bCs/>
          <w:color w:val="000000"/>
          <w:sz w:val="28"/>
          <w:szCs w:val="28"/>
        </w:rPr>
        <w:t>ТРАНСПОРТОМ</w:t>
      </w:r>
    </w:p>
    <w:p w:rsidR="002F7A4C" w:rsidRPr="00407202" w:rsidRDefault="002F7A4C" w:rsidP="002F7A4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F7A4C" w:rsidRPr="00BD0337" w:rsidRDefault="002F7A4C" w:rsidP="002F7A4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8"/>
      <w:bookmarkEnd w:id="1"/>
      <w:r w:rsidRPr="00BD0337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целях проведения ежегодной оценки эффективности (результативности) предоставления (использования) субсидий из областного бюджета местным бюджетам на компенсацию расходов по перевозке </w:t>
      </w:r>
      <w:r>
        <w:rPr>
          <w:rFonts w:ascii="Times New Roman" w:hAnsi="Times New Roman"/>
          <w:color w:val="000000"/>
          <w:sz w:val="28"/>
          <w:szCs w:val="28"/>
        </w:rPr>
        <w:t xml:space="preserve">пассажиров, 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грузов, необходимых для жизнеобеспечения населения, </w:t>
      </w:r>
      <w:r>
        <w:rPr>
          <w:rFonts w:ascii="Times New Roman" w:hAnsi="Times New Roman"/>
          <w:color w:val="000000"/>
          <w:sz w:val="28"/>
          <w:szCs w:val="28"/>
        </w:rPr>
        <w:t>авиационным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 транспортом (далее - субсидии).</w:t>
      </w:r>
    </w:p>
    <w:p w:rsidR="002F7A4C" w:rsidRPr="00BD0337" w:rsidRDefault="002F7A4C" w:rsidP="002F7A4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 xml:space="preserve">Министерство </w:t>
      </w:r>
      <w:r>
        <w:rPr>
          <w:rFonts w:ascii="Times New Roman" w:hAnsi="Times New Roman"/>
          <w:color w:val="000000"/>
          <w:sz w:val="28"/>
          <w:szCs w:val="28"/>
        </w:rPr>
        <w:t>транспорта и дорожного хозяйства Иркутской области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 (далее - министерство) на основании данных, полученных из предоставленных в установленном порядке органам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муниципальных образований Иркутской области (далее - получатель, муниципальное образование Иркутской области) отчетов об использовании субсидий, ежегодно проводит оценку эффективности (результативности) предоставления (использования) субсидий в следующей последовательности:</w:t>
      </w:r>
    </w:p>
    <w:p w:rsidR="002F7A4C" w:rsidRPr="00BD0337" w:rsidRDefault="002F7A4C" w:rsidP="002F7A4C">
      <w:pPr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>1) в разрезе каждого получателя по следующей формуле: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noProof/>
          <w:color w:val="000000"/>
          <w:position w:val="-29"/>
          <w:sz w:val="28"/>
          <w:szCs w:val="28"/>
        </w:rPr>
        <w:drawing>
          <wp:inline distT="0" distB="0" distL="0" distR="0" wp14:anchorId="52109C01" wp14:editId="623DAD8D">
            <wp:extent cx="1362075" cy="409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>где: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Pu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- результативность использования субсидии i-м муниципальным образованием Иркутской области;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Iф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- фактическ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количество пассажиров</w:t>
      </w:r>
      <w:r w:rsidRPr="00BD0337">
        <w:rPr>
          <w:rFonts w:ascii="Times New Roman" w:hAnsi="Times New Roman"/>
          <w:color w:val="000000"/>
          <w:sz w:val="28"/>
          <w:szCs w:val="28"/>
        </w:rPr>
        <w:t>, перевезенн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 в границах i-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Иркутской области;</w:t>
      </w:r>
    </w:p>
    <w:p w:rsidR="002F7A4C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Iп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количество пассажиров</w:t>
      </w:r>
      <w:r w:rsidRPr="00BD0337">
        <w:rPr>
          <w:rFonts w:ascii="Times New Roman" w:hAnsi="Times New Roman"/>
          <w:color w:val="000000"/>
          <w:sz w:val="28"/>
          <w:szCs w:val="28"/>
        </w:rPr>
        <w:t>, запланированн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 к перевозке в границах i-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Иркутской области.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 xml:space="preserve">В случае, если фактическое значение </w:t>
      </w:r>
      <w:r>
        <w:rPr>
          <w:rFonts w:ascii="Times New Roman" w:hAnsi="Times New Roman"/>
          <w:color w:val="000000"/>
          <w:sz w:val="28"/>
          <w:szCs w:val="28"/>
        </w:rPr>
        <w:t>количества пассажиров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 превышает плановое значение </w:t>
      </w:r>
      <w:r>
        <w:rPr>
          <w:rFonts w:ascii="Times New Roman" w:hAnsi="Times New Roman"/>
          <w:color w:val="000000"/>
          <w:sz w:val="28"/>
          <w:szCs w:val="28"/>
        </w:rPr>
        <w:t>количества пассажиров</w:t>
      </w:r>
      <w:r w:rsidRPr="00BD0337">
        <w:rPr>
          <w:rFonts w:ascii="Times New Roman" w:hAnsi="Times New Roman"/>
          <w:color w:val="000000"/>
          <w:sz w:val="28"/>
          <w:szCs w:val="28"/>
        </w:rPr>
        <w:t>, запланированное к перевозке, считать фактическое значение равным плановому значению.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 xml:space="preserve">Результативность использования субсидий i-м муниципальным образованием Иркутской области признается высокой в случае, если значение 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Pu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не менее 90%.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 xml:space="preserve">Результативность использования субсидий i-м муниципальным образованием Иркутской области признается средней в случае, если значение 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Pu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не менее 80% и ниже 90%.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Результативность предоставления субсидий i-м муниципальным образованием Иркутской области признается низкой в случае, если значение 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Pu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ниже 80%;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>2) в целом по всем получателям по следующей формуле: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noProof/>
          <w:color w:val="000000"/>
          <w:position w:val="-32"/>
          <w:sz w:val="28"/>
          <w:szCs w:val="28"/>
        </w:rPr>
        <w:drawing>
          <wp:inline distT="0" distB="0" distL="0" distR="0" wp14:anchorId="7337D63B" wp14:editId="402297BC">
            <wp:extent cx="150495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>где: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Эфр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- эффективность предоставления субсидии i-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муниципальному образованию Иркутской области;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>М - i-е муниципальное образование Иркутской области, получившее субсидию;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Зф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- сумма фактически перечисленных i-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муниципальному образованию Иркутской области субсидий с учетом возврата неиспользованных остатков субсидий;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Зпл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- сумма субсидий, запланированная к перечислению i-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муниципальному образованию Иркутской области в соответствии с заявками муниципального образования Иркутской области.</w:t>
      </w:r>
    </w:p>
    <w:p w:rsidR="002F7A4C" w:rsidRPr="00BD0337" w:rsidRDefault="002F7A4C" w:rsidP="002F7A4C">
      <w:pPr>
        <w:autoSpaceDE w:val="0"/>
        <w:autoSpaceDN w:val="0"/>
        <w:adjustRightInd w:val="0"/>
        <w:spacing w:line="228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>Эффективность предоставления субсидий i-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муниципальному образованию Иркутской области признается высокой, в случае если значение 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Эфр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составляет не менее 90%.</w:t>
      </w:r>
    </w:p>
    <w:p w:rsidR="002F7A4C" w:rsidRPr="00BD0337" w:rsidRDefault="002F7A4C" w:rsidP="002F7A4C">
      <w:pPr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>Эффективность предоставления субсидий i-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муниципальному образованию Иркутской области признается средней, в случае если значение 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Эфр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не менее 70% и ниже 90%.</w:t>
      </w:r>
    </w:p>
    <w:p w:rsidR="002F7A4C" w:rsidRPr="00BD0337" w:rsidRDefault="002F7A4C" w:rsidP="002F7A4C">
      <w:pPr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>Эффективность предоставления субсидий i-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муниципальному образованию Иркутской области признается низкой, в случае если значение </w:t>
      </w:r>
      <w:proofErr w:type="spellStart"/>
      <w:r w:rsidRPr="00BD0337">
        <w:rPr>
          <w:rFonts w:ascii="Times New Roman" w:hAnsi="Times New Roman"/>
          <w:color w:val="000000"/>
          <w:sz w:val="28"/>
          <w:szCs w:val="28"/>
        </w:rPr>
        <w:t>Эфр</w:t>
      </w:r>
      <w:proofErr w:type="spellEnd"/>
      <w:r w:rsidRPr="00BD0337">
        <w:rPr>
          <w:rFonts w:ascii="Times New Roman" w:hAnsi="Times New Roman"/>
          <w:color w:val="000000"/>
          <w:sz w:val="28"/>
          <w:szCs w:val="28"/>
        </w:rPr>
        <w:t xml:space="preserve"> ниже 70%.</w:t>
      </w:r>
    </w:p>
    <w:p w:rsidR="002F7A4C" w:rsidRPr="00BD0337" w:rsidRDefault="002F7A4C" w:rsidP="002F7A4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33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2" w:history="1">
        <w:r w:rsidRPr="00BD0337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BD0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6A5F">
        <w:rPr>
          <w:rFonts w:ascii="Times New Roman" w:hAnsi="Times New Roman"/>
          <w:color w:val="000000"/>
          <w:sz w:val="28"/>
          <w:szCs w:val="28"/>
        </w:rPr>
        <w:t>о предоставлении субсидий из областного бюджета местным бюджетам на компенсацию расходов по перевозке пассажиров, грузов, необходимых для жизнеобеспечения населения, авиационным и автомобильным транспортом и о внесении изменений в государственную программу Иркутской области «Развитие транспортного комплекса Иркутской области» на 2014 - 2018 годы»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, утвержденным постановлением Правительства Иркутской области от 4 мая 2016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BD0337">
        <w:rPr>
          <w:rFonts w:ascii="Times New Roman" w:hAnsi="Times New Roman"/>
          <w:color w:val="000000"/>
          <w:sz w:val="28"/>
          <w:szCs w:val="28"/>
        </w:rPr>
        <w:t xml:space="preserve"> 261-пп, министерство формирует отчет о проведении оценки эффективности (результативности) предоставления (использования) субсидий (далее - отчет).</w:t>
      </w:r>
    </w:p>
    <w:p w:rsidR="002F7A4C" w:rsidRDefault="002F7A4C" w:rsidP="002F7A4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отчета осуществляет отдел реализации государственной политики в области воздушного, железнодорожного и водного транспорта в управлении транспорта министерства (далее - отдел) по формам 1, 2 (приложения 1, 2 к Порядку).</w:t>
      </w:r>
    </w:p>
    <w:p w:rsidR="002F7A4C" w:rsidRDefault="002F7A4C" w:rsidP="002F7A4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1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подписания отчета в установленном порядке отдел обеспечивает:</w:t>
      </w:r>
    </w:p>
    <w:p w:rsidR="002F7A4C" w:rsidRDefault="002F7A4C" w:rsidP="002F7A4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1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30 марта года, следующего за годом предоставления субсидий, направление отчета в министерство экономического развития и промышленности Иркутской области;</w:t>
      </w:r>
    </w:p>
    <w:p w:rsidR="002F7A4C" w:rsidRPr="00E14A6E" w:rsidRDefault="002F7A4C" w:rsidP="002F7A4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1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A6E">
        <w:rPr>
          <w:rFonts w:ascii="Times New Roman" w:hAnsi="Times New Roman"/>
          <w:sz w:val="28"/>
          <w:szCs w:val="28"/>
        </w:rPr>
        <w:t>в срок до 1 мая года, следующего за годом предоставления субсидий, размещение отчета на официальном сайте министерства в информационно-телекоммуникационной сети «Интернет».</w:t>
      </w:r>
    </w:p>
    <w:p w:rsidR="002F7A4C" w:rsidRDefault="002F7A4C" w:rsidP="002F7A4C">
      <w:pPr>
        <w:spacing w:line="216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F7A4C" w:rsidRDefault="002F7A4C" w:rsidP="002F7A4C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F7A4C" w:rsidRPr="00407202" w:rsidRDefault="002F7A4C" w:rsidP="002F7A4C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sz w:val="28"/>
          <w:szCs w:val="28"/>
        </w:rPr>
      </w:pPr>
      <w:r w:rsidRPr="00407202">
        <w:rPr>
          <w:rFonts w:ascii="Times New Roman" w:hAnsi="Times New Roman"/>
          <w:sz w:val="28"/>
          <w:szCs w:val="28"/>
        </w:rPr>
        <w:t xml:space="preserve">к Порядку </w:t>
      </w:r>
      <w:r w:rsidRPr="007B4B00">
        <w:rPr>
          <w:rFonts w:ascii="Times New Roman" w:hAnsi="Times New Roman"/>
          <w:sz w:val="28"/>
          <w:szCs w:val="28"/>
        </w:rPr>
        <w:t>проведения ежегодной оценки эффективности (результативности) предоставления (использования) субсидий из областного бюджета местным бюджетам на компенсацию расходов по перевозке</w:t>
      </w:r>
      <w:r>
        <w:rPr>
          <w:rFonts w:ascii="Times New Roman" w:hAnsi="Times New Roman"/>
          <w:sz w:val="28"/>
          <w:szCs w:val="28"/>
        </w:rPr>
        <w:t xml:space="preserve"> пассажиров,</w:t>
      </w:r>
      <w:r w:rsidRPr="007B4B00">
        <w:rPr>
          <w:rFonts w:ascii="Times New Roman" w:hAnsi="Times New Roman"/>
          <w:sz w:val="28"/>
          <w:szCs w:val="28"/>
        </w:rPr>
        <w:t xml:space="preserve"> грузов, необходимых для жизнеобеспечения населения, </w:t>
      </w:r>
      <w:r>
        <w:rPr>
          <w:rFonts w:ascii="Times New Roman" w:hAnsi="Times New Roman"/>
          <w:sz w:val="28"/>
          <w:szCs w:val="28"/>
        </w:rPr>
        <w:t>авиационным</w:t>
      </w:r>
      <w:r w:rsidRPr="007B4B00">
        <w:rPr>
          <w:rFonts w:ascii="Times New Roman" w:hAnsi="Times New Roman"/>
          <w:sz w:val="28"/>
          <w:szCs w:val="28"/>
        </w:rPr>
        <w:t xml:space="preserve"> транспортом</w:t>
      </w:r>
    </w:p>
    <w:p w:rsidR="002F7A4C" w:rsidRPr="00407202" w:rsidRDefault="002F7A4C" w:rsidP="002F7A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7A4C" w:rsidRPr="002769D9" w:rsidRDefault="002F7A4C" w:rsidP="002F7A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Par30"/>
      <w:bookmarkEnd w:id="2"/>
    </w:p>
    <w:p w:rsidR="002F7A4C" w:rsidRPr="00407202" w:rsidRDefault="002F7A4C" w:rsidP="002F7A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7A4C" w:rsidRPr="00E14A6E" w:rsidRDefault="002F7A4C" w:rsidP="002F7A4C">
      <w:pPr>
        <w:spacing w:line="214" w:lineRule="auto"/>
        <w:ind w:left="6521"/>
        <w:jc w:val="right"/>
        <w:rPr>
          <w:rFonts w:ascii="Times New Roman" w:hAnsi="Times New Roman"/>
          <w:sz w:val="28"/>
          <w:szCs w:val="28"/>
        </w:rPr>
      </w:pPr>
      <w:r w:rsidRPr="00E14A6E">
        <w:rPr>
          <w:rFonts w:ascii="Times New Roman" w:hAnsi="Times New Roman"/>
          <w:sz w:val="28"/>
          <w:szCs w:val="28"/>
        </w:rPr>
        <w:t>Форма 1</w:t>
      </w:r>
    </w:p>
    <w:p w:rsidR="002F7A4C" w:rsidRPr="00BD0337" w:rsidRDefault="002F7A4C" w:rsidP="002F7A4C">
      <w:pPr>
        <w:autoSpaceDE w:val="0"/>
        <w:autoSpaceDN w:val="0"/>
        <w:adjustRightInd w:val="0"/>
        <w:spacing w:line="214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A4C" w:rsidRDefault="002F7A4C" w:rsidP="002F7A4C">
      <w:pPr>
        <w:spacing w:after="120" w:line="214" w:lineRule="auto"/>
        <w:jc w:val="center"/>
        <w:rPr>
          <w:rFonts w:ascii="Times New Roman" w:hAnsi="Times New Roman"/>
          <w:b/>
          <w:sz w:val="28"/>
          <w:szCs w:val="24"/>
        </w:rPr>
      </w:pPr>
      <w:r w:rsidRPr="00E14A6E">
        <w:rPr>
          <w:rFonts w:ascii="Times New Roman" w:hAnsi="Times New Roman"/>
          <w:b/>
          <w:sz w:val="28"/>
          <w:szCs w:val="24"/>
        </w:rPr>
        <w:t xml:space="preserve">ОТЧЕТ О ПРОВЕДЕНИИ ЕЖЕГОДНОЙ ОЦЕНКИ РЕЗУЛЬТАТИВНОСТИ ИСПОЛЬЗОВАНИЯ СУБСИДИЙ </w:t>
      </w:r>
      <w:r>
        <w:rPr>
          <w:rFonts w:ascii="Times New Roman" w:hAnsi="Times New Roman"/>
          <w:b/>
          <w:sz w:val="28"/>
          <w:szCs w:val="24"/>
        </w:rPr>
        <w:t>НА КОМПЕНСАЦИЮ РАСХОДОВ ПО ПЕРЕВОЗКЕ ПАССАЖИРОВ</w:t>
      </w:r>
    </w:p>
    <w:p w:rsidR="002F7A4C" w:rsidRDefault="002F7A4C" w:rsidP="002F7A4C">
      <w:pPr>
        <w:spacing w:after="120" w:line="214" w:lineRule="auto"/>
        <w:jc w:val="center"/>
        <w:rPr>
          <w:rFonts w:ascii="Times New Roman" w:hAnsi="Times New Roman"/>
          <w:b/>
          <w:sz w:val="28"/>
          <w:szCs w:val="24"/>
        </w:rPr>
      </w:pPr>
      <w:r w:rsidRPr="00E14A6E">
        <w:rPr>
          <w:rFonts w:ascii="Times New Roman" w:hAnsi="Times New Roman"/>
          <w:b/>
          <w:sz w:val="28"/>
          <w:szCs w:val="24"/>
        </w:rPr>
        <w:t>ЗА _____ ГОД</w:t>
      </w:r>
    </w:p>
    <w:p w:rsidR="002F7A4C" w:rsidRPr="00E14A6E" w:rsidRDefault="002F7A4C" w:rsidP="002F7A4C">
      <w:pPr>
        <w:spacing w:after="120" w:line="12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028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95"/>
        <w:gridCol w:w="1418"/>
        <w:gridCol w:w="1775"/>
        <w:gridCol w:w="1843"/>
        <w:gridCol w:w="1843"/>
      </w:tblGrid>
      <w:tr w:rsidR="002F7A4C" w:rsidRPr="00726936" w:rsidTr="00464897">
        <w:tc>
          <w:tcPr>
            <w:tcW w:w="454" w:type="dxa"/>
            <w:vMerge w:val="restart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5" w:type="dxa"/>
            <w:vMerge w:val="restart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Наименование муниципального образования Иркутской области, являющегося получателем субсидий</w:t>
            </w:r>
          </w:p>
        </w:tc>
        <w:tc>
          <w:tcPr>
            <w:tcW w:w="3193" w:type="dxa"/>
            <w:gridSpan w:val="2"/>
            <w:vAlign w:val="center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Показатель результативности использования субсидии муниципальным образованием Иркутской области</w:t>
            </w:r>
          </w:p>
        </w:tc>
        <w:tc>
          <w:tcPr>
            <w:tcW w:w="1843" w:type="dxa"/>
            <w:vAlign w:val="center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Значение результативности использования субсидий</w:t>
            </w:r>
          </w:p>
        </w:tc>
        <w:tc>
          <w:tcPr>
            <w:tcW w:w="1843" w:type="dxa"/>
            <w:vAlign w:val="center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Тип результативности использования субсидий</w:t>
            </w:r>
          </w:p>
        </w:tc>
      </w:tr>
      <w:tr w:rsidR="002F7A4C" w:rsidRPr="00726936" w:rsidTr="00464897">
        <w:tc>
          <w:tcPr>
            <w:tcW w:w="454" w:type="dxa"/>
            <w:vMerge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F7A4C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Фактическ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726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</w:p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пассажиров</w:t>
            </w:r>
          </w:p>
        </w:tc>
        <w:tc>
          <w:tcPr>
            <w:tcW w:w="1775" w:type="dxa"/>
            <w:vAlign w:val="center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пассажиров</w:t>
            </w:r>
            <w:r w:rsidRPr="00726936">
              <w:rPr>
                <w:rFonts w:ascii="Times New Roman" w:hAnsi="Times New Roman" w:cs="Times New Roman"/>
              </w:rPr>
              <w:t>, запланированн</w:t>
            </w:r>
            <w:r>
              <w:rPr>
                <w:rFonts w:ascii="Times New Roman" w:hAnsi="Times New Roman" w:cs="Times New Roman"/>
              </w:rPr>
              <w:t>ое</w:t>
            </w:r>
            <w:r w:rsidRPr="00726936">
              <w:rPr>
                <w:rFonts w:ascii="Times New Roman" w:hAnsi="Times New Roman" w:cs="Times New Roman"/>
              </w:rPr>
              <w:t xml:space="preserve"> к перевозке</w:t>
            </w: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(</w:t>
            </w:r>
            <w:proofErr w:type="spellStart"/>
            <w:r w:rsidRPr="00726936">
              <w:rPr>
                <w:rFonts w:ascii="Times New Roman" w:hAnsi="Times New Roman" w:cs="Times New Roman"/>
              </w:rPr>
              <w:t>Pu</w:t>
            </w:r>
            <w:proofErr w:type="spellEnd"/>
            <w:r w:rsidRPr="00726936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1843" w:type="dxa"/>
            <w:vAlign w:val="center"/>
          </w:tcPr>
          <w:p w:rsidR="002F7A4C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(высокая/средняя/</w:t>
            </w:r>
          </w:p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низкая)</w:t>
            </w:r>
          </w:p>
        </w:tc>
      </w:tr>
      <w:tr w:rsidR="002F7A4C" w:rsidRPr="00726936" w:rsidTr="00464897">
        <w:tc>
          <w:tcPr>
            <w:tcW w:w="454" w:type="dxa"/>
            <w:vAlign w:val="center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</w:tr>
      <w:tr w:rsidR="002F7A4C" w:rsidRPr="00726936" w:rsidTr="00464897">
        <w:tc>
          <w:tcPr>
            <w:tcW w:w="454" w:type="dxa"/>
            <w:vAlign w:val="center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</w:tr>
      <w:tr w:rsidR="002F7A4C" w:rsidRPr="00726936" w:rsidTr="00464897">
        <w:tc>
          <w:tcPr>
            <w:tcW w:w="454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9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</w:tr>
    </w:tbl>
    <w:p w:rsidR="002F7A4C" w:rsidRDefault="002F7A4C" w:rsidP="002F7A4C">
      <w:pPr>
        <w:spacing w:after="120" w:line="21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2F7A4C" w:rsidRPr="002E1411" w:rsidRDefault="002F7A4C" w:rsidP="002F7A4C">
      <w:pPr>
        <w:spacing w:after="120" w:line="21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 </w:t>
      </w:r>
      <w:r w:rsidRPr="002E1411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________________             </w:t>
      </w:r>
      <w:r w:rsidRPr="002E1411">
        <w:rPr>
          <w:rFonts w:ascii="Times New Roman" w:hAnsi="Times New Roman"/>
          <w:sz w:val="28"/>
        </w:rPr>
        <w:t xml:space="preserve">_______________ </w:t>
      </w:r>
      <w:r>
        <w:rPr>
          <w:rFonts w:ascii="Times New Roman" w:hAnsi="Times New Roman"/>
          <w:sz w:val="28"/>
        </w:rPr>
        <w:t xml:space="preserve">       </w:t>
      </w:r>
      <w:r w:rsidRPr="002E1411">
        <w:rPr>
          <w:rFonts w:ascii="Times New Roman" w:hAnsi="Times New Roman"/>
          <w:sz w:val="28"/>
        </w:rPr>
        <w:t>_______________</w:t>
      </w:r>
    </w:p>
    <w:p w:rsidR="002F7A4C" w:rsidRPr="00BD6372" w:rsidRDefault="002F7A4C" w:rsidP="002F7A4C">
      <w:pPr>
        <w:spacing w:line="214" w:lineRule="auto"/>
        <w:ind w:left="284"/>
        <w:rPr>
          <w:rFonts w:ascii="Times New Roman" w:hAnsi="Times New Roman"/>
        </w:rPr>
      </w:pPr>
      <w:r w:rsidRPr="00BD6372">
        <w:rPr>
          <w:rFonts w:ascii="Times New Roman" w:hAnsi="Times New Roman"/>
        </w:rPr>
        <w:t xml:space="preserve">(наименование должности </w:t>
      </w:r>
      <w:proofErr w:type="gramStart"/>
      <w:r w:rsidRPr="00BD6372">
        <w:rPr>
          <w:rFonts w:ascii="Times New Roman" w:hAnsi="Times New Roman"/>
        </w:rPr>
        <w:t xml:space="preserve">лица,   </w:t>
      </w:r>
      <w:proofErr w:type="gramEnd"/>
      <w:r w:rsidRPr="00BD6372">
        <w:rPr>
          <w:rFonts w:ascii="Times New Roman" w:hAnsi="Times New Roman"/>
        </w:rPr>
        <w:t xml:space="preserve">                                     (подпись, дата)                   (инициалы, фамилия     уполномоченного на подписание отчета                                                                       уполномоченного лица) от имени министерства транспорта и</w:t>
      </w:r>
    </w:p>
    <w:p w:rsidR="002F7A4C" w:rsidRDefault="002F7A4C" w:rsidP="002F7A4C">
      <w:pPr>
        <w:spacing w:line="214" w:lineRule="auto"/>
        <w:ind w:left="284"/>
        <w:rPr>
          <w:rFonts w:ascii="Times New Roman" w:hAnsi="Times New Roman"/>
          <w:sz w:val="24"/>
          <w:szCs w:val="24"/>
        </w:rPr>
      </w:pPr>
      <w:r w:rsidRPr="00BD6372">
        <w:rPr>
          <w:rFonts w:ascii="Times New Roman" w:hAnsi="Times New Roman"/>
        </w:rPr>
        <w:t>дорожного хозяйства Иркутской области)</w:t>
      </w:r>
      <w:r w:rsidRPr="002E1411">
        <w:rPr>
          <w:rFonts w:ascii="Times New Roman" w:hAnsi="Times New Roman"/>
          <w:sz w:val="24"/>
          <w:szCs w:val="24"/>
        </w:rPr>
        <w:t xml:space="preserve"> </w:t>
      </w: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F7A4C" w:rsidRPr="00407202" w:rsidRDefault="002F7A4C" w:rsidP="002F7A4C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sz w:val="28"/>
          <w:szCs w:val="28"/>
        </w:rPr>
      </w:pPr>
      <w:r w:rsidRPr="00407202">
        <w:rPr>
          <w:rFonts w:ascii="Times New Roman" w:hAnsi="Times New Roman"/>
          <w:sz w:val="28"/>
          <w:szCs w:val="28"/>
        </w:rPr>
        <w:t xml:space="preserve">к Порядку </w:t>
      </w:r>
      <w:r w:rsidRPr="007B4B00">
        <w:rPr>
          <w:rFonts w:ascii="Times New Roman" w:hAnsi="Times New Roman"/>
          <w:sz w:val="28"/>
          <w:szCs w:val="28"/>
        </w:rPr>
        <w:t xml:space="preserve">проведения ежегодной оценки эффективности (результативности) предоставления (использования) субсидий из областного бюджета местным бюджетам на компенсацию расходов по перевозке </w:t>
      </w:r>
      <w:r>
        <w:rPr>
          <w:rFonts w:ascii="Times New Roman" w:hAnsi="Times New Roman"/>
          <w:sz w:val="28"/>
          <w:szCs w:val="28"/>
        </w:rPr>
        <w:t xml:space="preserve">пассажиров, </w:t>
      </w:r>
      <w:r w:rsidRPr="007B4B00">
        <w:rPr>
          <w:rFonts w:ascii="Times New Roman" w:hAnsi="Times New Roman"/>
          <w:sz w:val="28"/>
          <w:szCs w:val="28"/>
        </w:rPr>
        <w:t xml:space="preserve">грузов, необходимых для жизнеобеспечения населения, </w:t>
      </w:r>
      <w:r>
        <w:rPr>
          <w:rFonts w:ascii="Times New Roman" w:hAnsi="Times New Roman"/>
          <w:sz w:val="28"/>
          <w:szCs w:val="28"/>
        </w:rPr>
        <w:t>авиационным</w:t>
      </w:r>
      <w:r w:rsidRPr="007B4B00">
        <w:rPr>
          <w:rFonts w:ascii="Times New Roman" w:hAnsi="Times New Roman"/>
          <w:sz w:val="28"/>
          <w:szCs w:val="28"/>
        </w:rPr>
        <w:t xml:space="preserve"> транспортом</w:t>
      </w: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E14A6E">
        <w:rPr>
          <w:rFonts w:ascii="Times New Roman" w:hAnsi="Times New Roman"/>
          <w:sz w:val="28"/>
          <w:szCs w:val="28"/>
        </w:rPr>
        <w:t>Форма 2</w:t>
      </w:r>
    </w:p>
    <w:p w:rsidR="002F7A4C" w:rsidRPr="00E14A6E" w:rsidRDefault="002F7A4C" w:rsidP="002F7A4C">
      <w:pPr>
        <w:spacing w:line="214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2F7A4C" w:rsidRDefault="002F7A4C" w:rsidP="002F7A4C">
      <w:pPr>
        <w:spacing w:line="21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A4C" w:rsidRPr="002E1411" w:rsidRDefault="002F7A4C" w:rsidP="002F7A4C">
      <w:pPr>
        <w:spacing w:line="214" w:lineRule="auto"/>
        <w:jc w:val="center"/>
        <w:rPr>
          <w:rFonts w:ascii="Times New Roman" w:hAnsi="Times New Roman"/>
          <w:b/>
          <w:sz w:val="28"/>
          <w:szCs w:val="28"/>
        </w:rPr>
      </w:pPr>
      <w:r w:rsidRPr="002E1411">
        <w:rPr>
          <w:rFonts w:ascii="Times New Roman" w:hAnsi="Times New Roman"/>
          <w:b/>
          <w:sz w:val="28"/>
          <w:szCs w:val="28"/>
        </w:rPr>
        <w:t xml:space="preserve">ОТЧЕТ О ПРОВЕДЕНИИ ЕЖЕГОДНОЙ ОЦЕНКИ ЭФФЕКТИВНОСТИ ПРЕДОСТАВЛЕНИЯ </w:t>
      </w:r>
      <w:r w:rsidRPr="00E14A6E">
        <w:rPr>
          <w:rFonts w:ascii="Times New Roman" w:hAnsi="Times New Roman"/>
          <w:b/>
          <w:sz w:val="28"/>
          <w:szCs w:val="24"/>
        </w:rPr>
        <w:t>СУБСИДИЙ</w:t>
      </w:r>
      <w:r w:rsidRPr="002E14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2E1411">
        <w:rPr>
          <w:rFonts w:ascii="Times New Roman" w:hAnsi="Times New Roman"/>
          <w:b/>
          <w:sz w:val="28"/>
          <w:szCs w:val="28"/>
        </w:rPr>
        <w:t>ЗА _______ ГОД</w:t>
      </w:r>
    </w:p>
    <w:p w:rsidR="002F7A4C" w:rsidRDefault="002F7A4C" w:rsidP="002F7A4C">
      <w:pPr>
        <w:spacing w:after="120" w:line="214" w:lineRule="auto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1985"/>
        <w:gridCol w:w="1559"/>
        <w:gridCol w:w="1701"/>
      </w:tblGrid>
      <w:tr w:rsidR="002F7A4C" w:rsidRPr="00726936" w:rsidTr="00464897">
        <w:tc>
          <w:tcPr>
            <w:tcW w:w="709" w:type="dxa"/>
            <w:vMerge w:val="restart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9" w:type="dxa"/>
            <w:vMerge w:val="restart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Наименование муниципального образования Иркутской области, являющегося получателем субсидий</w:t>
            </w:r>
          </w:p>
        </w:tc>
        <w:tc>
          <w:tcPr>
            <w:tcW w:w="3828" w:type="dxa"/>
            <w:gridSpan w:val="2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Сумма субсидий, тыс. руб.</w:t>
            </w:r>
          </w:p>
        </w:tc>
        <w:tc>
          <w:tcPr>
            <w:tcW w:w="1559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Значение эффективности предоставления субсидий</w:t>
            </w:r>
          </w:p>
        </w:tc>
        <w:tc>
          <w:tcPr>
            <w:tcW w:w="1701" w:type="dxa"/>
          </w:tcPr>
          <w:p w:rsidR="002F7A4C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 xml:space="preserve">Тип </w:t>
            </w:r>
          </w:p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эффективности предоставления субсидий</w:t>
            </w:r>
          </w:p>
        </w:tc>
      </w:tr>
      <w:tr w:rsidR="002F7A4C" w:rsidRPr="00726936" w:rsidTr="00464897">
        <w:tc>
          <w:tcPr>
            <w:tcW w:w="709" w:type="dxa"/>
            <w:vMerge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Фактически перечисленных муниципальному образованию Иркутской области субсидий с учетом возврата неиспользованных остатков субсидий</w:t>
            </w:r>
          </w:p>
        </w:tc>
        <w:tc>
          <w:tcPr>
            <w:tcW w:w="198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Запланированная к перечислению муниципальному образованию Иркутской области в соответствии с заявками муниципального образования Иркутской области</w:t>
            </w:r>
          </w:p>
        </w:tc>
        <w:tc>
          <w:tcPr>
            <w:tcW w:w="1559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(</w:t>
            </w:r>
            <w:proofErr w:type="spellStart"/>
            <w:r w:rsidRPr="00726936">
              <w:rPr>
                <w:rFonts w:ascii="Times New Roman" w:hAnsi="Times New Roman" w:cs="Times New Roman"/>
              </w:rPr>
              <w:t>Эфр</w:t>
            </w:r>
            <w:proofErr w:type="spellEnd"/>
            <w:r w:rsidRPr="00726936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1701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(высокая/средняя/низкая)</w:t>
            </w:r>
          </w:p>
        </w:tc>
      </w:tr>
      <w:tr w:rsidR="002F7A4C" w:rsidRPr="00726936" w:rsidTr="00464897">
        <w:tc>
          <w:tcPr>
            <w:tcW w:w="709" w:type="dxa"/>
            <w:vAlign w:val="center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</w:tr>
      <w:tr w:rsidR="002F7A4C" w:rsidRPr="00726936" w:rsidTr="00464897">
        <w:tc>
          <w:tcPr>
            <w:tcW w:w="709" w:type="dxa"/>
            <w:vAlign w:val="center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</w:tr>
      <w:tr w:rsidR="002F7A4C" w:rsidRPr="00726936" w:rsidTr="00464897">
        <w:trPr>
          <w:trHeight w:val="28"/>
        </w:trPr>
        <w:tc>
          <w:tcPr>
            <w:tcW w:w="709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  <w:r w:rsidRPr="0072693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7A4C" w:rsidRPr="00726936" w:rsidRDefault="002F7A4C" w:rsidP="00464897">
            <w:pPr>
              <w:pStyle w:val="ConsPlusNormal"/>
              <w:spacing w:line="214" w:lineRule="auto"/>
              <w:rPr>
                <w:rFonts w:ascii="Times New Roman" w:hAnsi="Times New Roman" w:cs="Times New Roman"/>
              </w:rPr>
            </w:pPr>
          </w:p>
        </w:tc>
      </w:tr>
    </w:tbl>
    <w:p w:rsidR="002F7A4C" w:rsidRDefault="002F7A4C" w:rsidP="002F7A4C">
      <w:pPr>
        <w:spacing w:after="120" w:line="214" w:lineRule="auto"/>
        <w:jc w:val="both"/>
        <w:rPr>
          <w:rFonts w:ascii="Times New Roman" w:hAnsi="Times New Roman"/>
          <w:sz w:val="28"/>
        </w:rPr>
      </w:pPr>
    </w:p>
    <w:p w:rsidR="002F7A4C" w:rsidRPr="002E1411" w:rsidRDefault="002F7A4C" w:rsidP="002F7A4C">
      <w:pPr>
        <w:spacing w:after="120" w:line="214" w:lineRule="auto"/>
        <w:rPr>
          <w:rFonts w:ascii="Times New Roman" w:hAnsi="Times New Roman"/>
          <w:sz w:val="28"/>
        </w:rPr>
      </w:pPr>
      <w:r w:rsidRPr="002E1411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________________             </w:t>
      </w:r>
      <w:r w:rsidRPr="002E1411">
        <w:rPr>
          <w:rFonts w:ascii="Times New Roman" w:hAnsi="Times New Roman"/>
          <w:sz w:val="28"/>
        </w:rPr>
        <w:t xml:space="preserve">_______________ </w:t>
      </w:r>
      <w:r>
        <w:rPr>
          <w:rFonts w:ascii="Times New Roman" w:hAnsi="Times New Roman"/>
          <w:sz w:val="28"/>
        </w:rPr>
        <w:t xml:space="preserve">       </w:t>
      </w:r>
      <w:r w:rsidRPr="002E1411">
        <w:rPr>
          <w:rFonts w:ascii="Times New Roman" w:hAnsi="Times New Roman"/>
          <w:sz w:val="28"/>
        </w:rPr>
        <w:t>_______________</w:t>
      </w:r>
    </w:p>
    <w:p w:rsidR="002F7A4C" w:rsidRPr="00BD6372" w:rsidRDefault="002F7A4C" w:rsidP="002F7A4C">
      <w:pPr>
        <w:spacing w:line="214" w:lineRule="auto"/>
        <w:rPr>
          <w:rFonts w:ascii="Times New Roman" w:hAnsi="Times New Roman"/>
        </w:rPr>
      </w:pPr>
      <w:r w:rsidRPr="00BD6372">
        <w:rPr>
          <w:rFonts w:ascii="Times New Roman" w:hAnsi="Times New Roman"/>
        </w:rPr>
        <w:t xml:space="preserve">(наименование должности </w:t>
      </w:r>
      <w:proofErr w:type="gramStart"/>
      <w:r w:rsidRPr="00BD6372">
        <w:rPr>
          <w:rFonts w:ascii="Times New Roman" w:hAnsi="Times New Roman"/>
        </w:rPr>
        <w:t xml:space="preserve">лица,   </w:t>
      </w:r>
      <w:proofErr w:type="gramEnd"/>
      <w:r w:rsidRPr="00BD6372">
        <w:rPr>
          <w:rFonts w:ascii="Times New Roman" w:hAnsi="Times New Roman"/>
        </w:rPr>
        <w:t xml:space="preserve">                                     (подпись, дата)                   (инициалы, фамилия     уполномоченного на подписание отчета                                                                         уполномоченного лица) от имени министерства транспорта и</w:t>
      </w:r>
    </w:p>
    <w:p w:rsidR="002F7A4C" w:rsidRDefault="002F7A4C" w:rsidP="002F7A4C">
      <w:pPr>
        <w:spacing w:line="214" w:lineRule="auto"/>
        <w:rPr>
          <w:rFonts w:ascii="Times New Roman" w:hAnsi="Times New Roman"/>
          <w:sz w:val="24"/>
          <w:szCs w:val="24"/>
        </w:rPr>
      </w:pPr>
      <w:r w:rsidRPr="00BD6372">
        <w:rPr>
          <w:rFonts w:ascii="Times New Roman" w:hAnsi="Times New Roman"/>
        </w:rPr>
        <w:t>дорожного хозяйства Иркутской области)</w:t>
      </w:r>
      <w:r w:rsidRPr="002E1411">
        <w:rPr>
          <w:rFonts w:ascii="Times New Roman" w:hAnsi="Times New Roman"/>
          <w:sz w:val="24"/>
          <w:szCs w:val="24"/>
        </w:rPr>
        <w:t xml:space="preserve"> </w:t>
      </w:r>
    </w:p>
    <w:p w:rsidR="002F7A4C" w:rsidRDefault="002F7A4C" w:rsidP="002F7A4C">
      <w:pPr>
        <w:spacing w:after="120" w:line="214" w:lineRule="auto"/>
        <w:jc w:val="both"/>
        <w:rPr>
          <w:rFonts w:ascii="Times New Roman" w:hAnsi="Times New Roman"/>
          <w:sz w:val="28"/>
        </w:rPr>
      </w:pPr>
    </w:p>
    <w:p w:rsidR="002F7A4C" w:rsidRDefault="002F7A4C" w:rsidP="002F7A4C">
      <w:pPr>
        <w:spacing w:after="120" w:line="214" w:lineRule="auto"/>
        <w:jc w:val="both"/>
        <w:rPr>
          <w:rFonts w:ascii="Times New Roman" w:hAnsi="Times New Roman"/>
          <w:sz w:val="28"/>
        </w:rPr>
      </w:pPr>
    </w:p>
    <w:p w:rsidR="00A0478B" w:rsidRPr="002E6C33" w:rsidRDefault="00A0478B" w:rsidP="00CC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0478B" w:rsidRPr="002E6C33" w:rsidSect="00546DBB">
      <w:headerReference w:type="defaul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2C" w:rsidRDefault="00B30B2C" w:rsidP="00423E08">
      <w:r>
        <w:separator/>
      </w:r>
    </w:p>
  </w:endnote>
  <w:endnote w:type="continuationSeparator" w:id="0">
    <w:p w:rsidR="00B30B2C" w:rsidRDefault="00B30B2C" w:rsidP="0042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2C" w:rsidRDefault="00B30B2C" w:rsidP="00423E08">
      <w:r>
        <w:separator/>
      </w:r>
    </w:p>
  </w:footnote>
  <w:footnote w:type="continuationSeparator" w:id="0">
    <w:p w:rsidR="00B30B2C" w:rsidRDefault="00B30B2C" w:rsidP="0042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1339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23E08" w:rsidRPr="00423E08" w:rsidRDefault="00423E08">
        <w:pPr>
          <w:pStyle w:val="a8"/>
          <w:jc w:val="center"/>
          <w:rPr>
            <w:sz w:val="24"/>
          </w:rPr>
        </w:pPr>
        <w:r w:rsidRPr="00423E08">
          <w:rPr>
            <w:sz w:val="24"/>
          </w:rPr>
          <w:fldChar w:fldCharType="begin"/>
        </w:r>
        <w:r w:rsidRPr="00423E08">
          <w:rPr>
            <w:sz w:val="24"/>
          </w:rPr>
          <w:instrText>PAGE   \* MERGEFORMAT</w:instrText>
        </w:r>
        <w:r w:rsidRPr="00423E08">
          <w:rPr>
            <w:sz w:val="24"/>
          </w:rPr>
          <w:fldChar w:fldCharType="separate"/>
        </w:r>
        <w:r w:rsidR="009606C6">
          <w:rPr>
            <w:noProof/>
            <w:sz w:val="24"/>
          </w:rPr>
          <w:t>2</w:t>
        </w:r>
        <w:r w:rsidRPr="00423E08">
          <w:rPr>
            <w:sz w:val="24"/>
          </w:rPr>
          <w:fldChar w:fldCharType="end"/>
        </w:r>
      </w:p>
    </w:sdtContent>
  </w:sdt>
  <w:p w:rsidR="00423E08" w:rsidRDefault="00423E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C43"/>
    <w:multiLevelType w:val="hybridMultilevel"/>
    <w:tmpl w:val="1FAA3C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AF2034"/>
    <w:multiLevelType w:val="hybridMultilevel"/>
    <w:tmpl w:val="B3C4E1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7513FF"/>
    <w:multiLevelType w:val="hybridMultilevel"/>
    <w:tmpl w:val="B3C4E1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F640A5"/>
    <w:multiLevelType w:val="hybridMultilevel"/>
    <w:tmpl w:val="717E7330"/>
    <w:lvl w:ilvl="0" w:tplc="3D0200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266A4"/>
    <w:multiLevelType w:val="hybridMultilevel"/>
    <w:tmpl w:val="82AA3D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5F910EBD"/>
    <w:multiLevelType w:val="hybridMultilevel"/>
    <w:tmpl w:val="36969CFE"/>
    <w:lvl w:ilvl="0" w:tplc="DE46D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6D1E90"/>
    <w:multiLevelType w:val="hybridMultilevel"/>
    <w:tmpl w:val="403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4E"/>
    <w:rsid w:val="000E78DF"/>
    <w:rsid w:val="00173DC8"/>
    <w:rsid w:val="001E1945"/>
    <w:rsid w:val="00231CC8"/>
    <w:rsid w:val="00252EAF"/>
    <w:rsid w:val="002B32A0"/>
    <w:rsid w:val="002F7A4C"/>
    <w:rsid w:val="003270DF"/>
    <w:rsid w:val="00334370"/>
    <w:rsid w:val="003D0124"/>
    <w:rsid w:val="003D5AF0"/>
    <w:rsid w:val="004143BB"/>
    <w:rsid w:val="00423E08"/>
    <w:rsid w:val="004472DC"/>
    <w:rsid w:val="0049282D"/>
    <w:rsid w:val="005236AD"/>
    <w:rsid w:val="0052754D"/>
    <w:rsid w:val="00544101"/>
    <w:rsid w:val="00546DBB"/>
    <w:rsid w:val="005975F1"/>
    <w:rsid w:val="005B742C"/>
    <w:rsid w:val="0069099C"/>
    <w:rsid w:val="006A3FE8"/>
    <w:rsid w:val="006B5A29"/>
    <w:rsid w:val="006E39A9"/>
    <w:rsid w:val="00706BC0"/>
    <w:rsid w:val="007124A7"/>
    <w:rsid w:val="00726551"/>
    <w:rsid w:val="007557BF"/>
    <w:rsid w:val="00773043"/>
    <w:rsid w:val="007A54D1"/>
    <w:rsid w:val="007D42C6"/>
    <w:rsid w:val="008450DA"/>
    <w:rsid w:val="0085463A"/>
    <w:rsid w:val="008B5481"/>
    <w:rsid w:val="009155A9"/>
    <w:rsid w:val="009248D0"/>
    <w:rsid w:val="009606C6"/>
    <w:rsid w:val="00991298"/>
    <w:rsid w:val="009E513A"/>
    <w:rsid w:val="009F4C97"/>
    <w:rsid w:val="00A0478B"/>
    <w:rsid w:val="00A76786"/>
    <w:rsid w:val="00AB061F"/>
    <w:rsid w:val="00AE6F4E"/>
    <w:rsid w:val="00B266CD"/>
    <w:rsid w:val="00B30B2C"/>
    <w:rsid w:val="00B4318B"/>
    <w:rsid w:val="00B54E0B"/>
    <w:rsid w:val="00B8076A"/>
    <w:rsid w:val="00B8170E"/>
    <w:rsid w:val="00C27854"/>
    <w:rsid w:val="00C51513"/>
    <w:rsid w:val="00C72362"/>
    <w:rsid w:val="00CA0670"/>
    <w:rsid w:val="00CB258E"/>
    <w:rsid w:val="00CC4A29"/>
    <w:rsid w:val="00CE21A8"/>
    <w:rsid w:val="00CF1BC3"/>
    <w:rsid w:val="00E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F6A2FD-30CF-49C3-81B1-D2AD257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2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A2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A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CC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eformattedText">
    <w:name w:val="Preformatted Text"/>
    <w:basedOn w:val="a"/>
    <w:qFormat/>
    <w:rsid w:val="00CC4A29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table" w:styleId="a3">
    <w:name w:val="Table Grid"/>
    <w:basedOn w:val="a1"/>
    <w:uiPriority w:val="39"/>
    <w:rsid w:val="00CC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A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A2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78D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266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3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3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E08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09F30ACCE87844EC67F24C04BE2A40DC11DBA2C29D01C77EA02D89D6CC8AABC5FF8048D0349C1C40AC95782E6753E63010EB977CE5C71027F1C68A3m1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Рябикова</dc:creator>
  <cp:lastModifiedBy>Кулыгина Юлия Олеговна</cp:lastModifiedBy>
  <cp:revision>4</cp:revision>
  <cp:lastPrinted>2022-11-11T04:07:00Z</cp:lastPrinted>
  <dcterms:created xsi:type="dcterms:W3CDTF">2022-11-08T07:41:00Z</dcterms:created>
  <dcterms:modified xsi:type="dcterms:W3CDTF">2022-11-11T04:07:00Z</dcterms:modified>
</cp:coreProperties>
</file>